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BERTHELSEN SPENCER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GAZELLE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IONIS PHARMACEUTICALS INC</w:t>
              </w:r>
            </w:hyperlink>
            <w:r>
              <w:rPr/>
              <w:t xml:space="preserve"> [ </w:t>
            </w:r>
            <w:r>
              <w:rPr>
                <w:rFonts w:ascii="Times;serif" w:hAnsi="Times;serif"/>
                <w:color w:val="0000FF"/>
                <w:sz w:val="24"/>
                <w:shd w:fill="FFFFFF" w:val="clear"/>
              </w:rPr>
              <w:t>IONS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5"/>
        <w:gridCol w:w="910"/>
        <w:gridCol w:w="778"/>
        <w:gridCol w:w="604"/>
        <w:gridCol w:w="349"/>
        <w:gridCol w:w="889"/>
        <w:gridCol w:w="452"/>
        <w:gridCol w:w="616"/>
        <w:gridCol w:w="1162"/>
        <w:gridCol w:w="998"/>
        <w:gridCol w:w="11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5,220</w:t>
            </w:r>
            <w:r>
              <w:rPr>
                <w:rFonts w:ascii="Times;serif" w:hAnsi="Times;serif"/>
                <w:color w:val="008000"/>
                <w:position w:val="7"/>
                <w:sz w:val="16"/>
                <w:sz w:val="20"/>
                <w:shd w:fill="FFFFFF" w:val="clear"/>
              </w:rPr>
              <w:t>(1)</w:t>
            </w:r>
            <w:r>
              <w:rPr/>
              <w:t xml:space="preserve"> </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r>
              <w:rPr/>
              <w:t xml:space="preserve"> </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161,233</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Daughter</w:t>
            </w:r>
            <w:r>
              <w:rPr>
                <w:rFonts w:ascii="Times;serif" w:hAnsi="Times;serif"/>
                <w:color w:val="008000"/>
                <w:position w:val="7"/>
                <w:sz w:val="16"/>
                <w:sz w:val="20"/>
                <w:shd w:fill="FFFFFF" w:val="clear"/>
              </w:rPr>
              <w:t>(2)</w:t>
            </w:r>
            <w:r>
              <w:rPr/>
              <w:t xml:space="preserve"> </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5,220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Acquired pursuant to vesting and release of shares in accordance with a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all securities held by his daughter, and this report should not be deemed an admission that the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Ionis common stock, or its equivalent cash value.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Restricted Stock Units vest 100% on either the first anniversary of the date of grant or the next regularly scheduled annual meeting of stockholders of the Company, whichever occurs earlier, and are delivered to the reporting person on the July 15th following the vesting date. Upon vesting, the Restricted Stock Units will be paid in whole shares of Ionis common stock or cash as may be determined by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Patrick R. O'Neil, attorney-in-fact For: Spencer R. Berthelsen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1548" TargetMode="External"/><Relationship Id="rId5" Type="http://schemas.openxmlformats.org/officeDocument/2006/relationships/hyperlink" Target="http://www.sec.gov/cgi-bin/browse-edgar?action=getcompany&amp;CIK=00008740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736</Words>
  <Characters>3937</Characters>
  <CharactersWithSpaces>4602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