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orizontalLine"/>
        <w:bidi w:val="0"/>
        <w:jc w:val="left"/>
        <w:rPr/>
      </w:pPr>
      <w:r>
        <w:rPr/>
      </w:r>
    </w:p>
    <w:p>
      <w:pPr>
        <w:pStyle w:val="TextBody"/>
        <w:bidi w:val="0"/>
        <w:spacing w:before="0" w:after="0"/>
        <w:jc w:val="center"/>
        <w:rPr>
          <w:rFonts w:ascii="Times New Roman" w:hAnsi="Times New Roman"/>
          <w:b/>
          <w:color w:val="000000"/>
          <w:sz w:val="28"/>
          <w:shd w:fill="FFFFFF" w:val="clear"/>
        </w:rPr>
      </w:pPr>
      <w:r>
        <w:rPr>
          <w:rFonts w:ascii="Times New Roman" w:hAnsi="Times New Roman"/>
          <w:b/>
          <w:color w:val="000000"/>
          <w:sz w:val="28"/>
          <w:shd w:fill="FFFFFF" w:val="clear"/>
        </w:rPr>
        <w:t>SECURITIES AND EXCHANGE COMMISSION</w:t>
      </w:r>
    </w:p>
    <w:p>
      <w:pPr>
        <w:pStyle w:val="TextBody"/>
        <w:bidi w:val="0"/>
        <w:spacing w:before="0" w:after="0"/>
        <w:jc w:val="center"/>
        <w:rPr>
          <w:rFonts w:ascii="Times New Roman" w:hAnsi="Times New Roman"/>
          <w:b/>
          <w:color w:val="000000"/>
          <w:sz w:val="24"/>
          <w:shd w:fill="FFFFFF" w:val="clear"/>
        </w:rPr>
      </w:pPr>
      <w:r>
        <w:rPr>
          <w:rFonts w:ascii="Times New Roman" w:hAnsi="Times New Roman"/>
          <w:b/>
          <w:color w:val="000000"/>
          <w:sz w:val="24"/>
          <w:shd w:fill="FFFFFF" w:val="clear"/>
        </w:rPr>
        <w:t>Washington, D.C.  20549</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36"/>
          <w:shd w:fill="FFFFFF" w:val="clear"/>
        </w:rPr>
      </w:pPr>
      <w:r>
        <w:rPr>
          <w:rFonts w:ascii="Times New Roman" w:hAnsi="Times New Roman"/>
          <w:b/>
          <w:color w:val="000000"/>
          <w:sz w:val="36"/>
          <w:shd w:fill="FFFFFF" w:val="clear"/>
        </w:rPr>
        <w:t>FORM 8-K</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CURRENT REPORT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PURSUANT TO SECTION 13 OR 15(d) OF THE</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SECURITIES EXCHANGE ACT OF 1934</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Date of report (Date of earliest event reported):  July 29, 2026</w:t>
      </w:r>
    </w:p>
    <w:p>
      <w:pPr>
        <w:pStyle w:val="TextBody"/>
        <w:bidi w:val="0"/>
        <w:spacing w:before="0" w:after="0"/>
        <w:jc w:val="center"/>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48"/>
          <w:shd w:fill="FFFFFF" w:val="clear"/>
        </w:rPr>
      </w:pPr>
      <w:r>
        <w:rPr>
          <w:rFonts w:ascii="Times New Roman" w:hAnsi="Times New Roman"/>
          <w:b/>
          <w:color w:val="000000"/>
          <w:sz w:val="48"/>
          <w:shd w:fill="FFFFFF" w:val="clear"/>
        </w:rPr>
        <w:t>IONIS PHARMACEUTICALS, INC.</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(Exact Name of Registrant as Specified in Charter)</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Delaware</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(State or Other Jurisdiction of Incorporation)</w:t>
      </w:r>
    </w:p>
    <w:p>
      <w:pPr>
        <w:pStyle w:val="TextBody"/>
        <w:bidi w:val="0"/>
        <w:spacing w:before="0" w:after="0"/>
        <w:jc w:val="left"/>
        <w:rPr>
          <w:color w:val="000000"/>
          <w:shd w:fill="FFFFFF" w:val="clear"/>
        </w:rPr>
      </w:pPr>
      <w:r>
        <w:rPr>
          <w:color w:val="000000"/>
          <w:shd w:fill="FFFFFF" w:val="clear"/>
        </w:rPr>
        <w:t> </w:t>
      </w:r>
    </w:p>
    <w:tbl>
      <w:tblPr>
        <w:tblW w:w="4675" w:type="dxa"/>
        <w:jc w:val="left"/>
        <w:tblInd w:w="0" w:type="dxa"/>
        <w:tblLayout w:type="fixed"/>
        <w:tblCellMar>
          <w:top w:w="0" w:type="dxa"/>
          <w:left w:w="0" w:type="dxa"/>
          <w:bottom w:w="0" w:type="dxa"/>
          <w:right w:w="0" w:type="dxa"/>
        </w:tblCellMar>
      </w:tblPr>
      <w:tblGrid>
        <w:gridCol w:w="1850"/>
        <w:gridCol w:w="60"/>
        <w:gridCol w:w="2765"/>
      </w:tblGrid>
      <w:tr>
        <w:trPr/>
        <w:tc>
          <w:tcPr>
            <w:tcW w:w="1850"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000-19125</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b/>
                <w:sz w:val="20"/>
              </w:rPr>
            </w:pPr>
            <w:r>
              <w:rPr>
                <w:rFonts w:ascii="Times New Roman" w:hAnsi="Times New Roman"/>
                <w:b/>
                <w:sz w:val="20"/>
              </w:rPr>
              <w:t>33-0336973</w:t>
            </w:r>
          </w:p>
        </w:tc>
      </w:tr>
      <w:tr>
        <w:trPr/>
        <w:tc>
          <w:tcPr>
            <w:tcW w:w="185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(Commission File No.)</w:t>
            </w:r>
          </w:p>
        </w:tc>
        <w:tc>
          <w:tcPr>
            <w:tcW w:w="60" w:type="dxa"/>
            <w:tcBorders/>
            <w:vAlign w:val="center"/>
          </w:tcPr>
          <w:p>
            <w:pPr>
              <w:pStyle w:val="TableContents"/>
              <w:bidi w:val="0"/>
              <w:spacing w:before="0" w:after="283"/>
              <w:jc w:val="left"/>
              <w:rPr/>
            </w:pPr>
            <w:r>
              <w:rPr/>
              <w:t> </w:t>
            </w:r>
          </w:p>
        </w:tc>
        <w:tc>
          <w:tcPr>
            <w:tcW w:w="2765"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(IRS Employer Identification No.)</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2855 Gazelle Court</w:t>
      </w:r>
    </w:p>
    <w:p>
      <w:pPr>
        <w:pStyle w:val="TextBody"/>
        <w:bidi w:val="0"/>
        <w:spacing w:before="0" w:after="0"/>
        <w:jc w:val="center"/>
        <w:rPr>
          <w:rFonts w:ascii="Times New Roman" w:hAnsi="Times New Roman"/>
          <w:b/>
          <w:color w:val="000000"/>
          <w:sz w:val="20"/>
          <w:shd w:fill="FFFFFF" w:val="clear"/>
        </w:rPr>
      </w:pPr>
      <w:r>
        <w:rPr>
          <w:rFonts w:ascii="Times New Roman" w:hAnsi="Times New Roman"/>
          <w:b/>
          <w:color w:val="000000"/>
          <w:sz w:val="20"/>
          <w:shd w:fill="FFFFFF" w:val="clear"/>
        </w:rPr>
        <w:t>Carlsbad, CA 92010</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(Address of Principal Executive Offices and Zip Code)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center"/>
        <w:rPr>
          <w:rFonts w:ascii="Times New Roman" w:hAnsi="Times New Roman"/>
          <w:color w:val="000000"/>
          <w:sz w:val="20"/>
          <w:shd w:fill="FFFFFF" w:val="clear"/>
        </w:rPr>
      </w:pPr>
      <w:r>
        <w:rPr>
          <w:rFonts w:ascii="Times New Roman" w:hAnsi="Times New Roman"/>
          <w:color w:val="000000"/>
          <w:sz w:val="20"/>
          <w:shd w:fill="FFFFFF" w:val="clear"/>
        </w:rPr>
        <w:t xml:space="preserve">Registrant’s telephone number, including area code: </w:t>
      </w:r>
      <w:r>
        <w:rPr>
          <w:rFonts w:ascii="Times New Roman" w:hAnsi="Times New Roman"/>
          <w:b/>
          <w:color w:val="000000"/>
          <w:sz w:val="20"/>
          <w:shd w:fill="FFFFFF" w:val="clear"/>
        </w:rPr>
        <w:t>(760) 931-9200</w:t>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Check the appropriate box below if the Form 8-K filing is intended to simultaneously satisfy the filing obligation of the registrant under any of the following provisions:</w:t>
      </w:r>
    </w:p>
    <w:p>
      <w:pPr>
        <w:pStyle w:val="TextBody"/>
        <w:bidi w:val="0"/>
        <w:spacing w:before="0" w:after="0"/>
        <w:jc w:val="left"/>
        <w:rPr>
          <w:rFonts w:ascii="Times New Roman" w:hAnsi="Times New Roman"/>
          <w:sz w:val="20"/>
        </w:rPr>
      </w:pPr>
      <w:r>
        <w:rPr>
          <w:rFonts w:ascii="Times New Roman" w:hAnsi="Times New Roman"/>
          <w:sz w:val="20"/>
        </w:rPr>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color w:val="000000"/>
              </w:rPr>
            </w:pPr>
            <w:r>
              <w:rPr>
                <w:color w:val="000000"/>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color w:val="000000"/>
              </w:rPr>
            </w:pPr>
            <w:r>
              <w:rPr>
                <w:color w:val="000000"/>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olor w:val="000000"/>
              </w:rPr>
            </w:pPr>
            <w:r>
              <w:rPr>
                <w:color w:val="000000"/>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rFonts w:ascii="Times New Roman" w:hAnsi="Times New Roman"/>
          <w:sz w:val="20"/>
        </w:rPr>
      </w:pPr>
      <w:r>
        <w:rPr>
          <w:rFonts w:ascii="Times New Roman" w:hAnsi="Times New Roman"/>
          <w:sz w:val="20"/>
        </w:rPr>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color w:val="000000"/>
              </w:rPr>
            </w:pPr>
            <w:r>
              <w:rPr>
                <w:color w:val="000000"/>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left"/>
        <w:rPr>
          <w:rFonts w:ascii="Times New Roman" w:hAnsi="Times New Roman"/>
          <w:color w:val="000000"/>
          <w:sz w:val="20"/>
          <w:shd w:fill="FFFFFF" w:val="clear"/>
        </w:rPr>
      </w:pPr>
      <w:r>
        <w:rPr>
          <w:rFonts w:ascii="Times New Roman" w:hAnsi="Times New Roman"/>
          <w:color w:val="000000"/>
          <w:sz w:val="20"/>
          <w:shd w:fill="FFFFFF" w:val="clear"/>
        </w:rPr>
        <w:t>Securities registered pursuant to Section 12(b) of the Act:</w:t>
      </w:r>
    </w:p>
    <w:p>
      <w:pPr>
        <w:pStyle w:val="TextBody"/>
        <w:bidi w:val="0"/>
        <w:spacing w:before="0" w:after="0"/>
        <w:jc w:val="left"/>
        <w:rPr>
          <w:rFonts w:ascii="Times New Roman" w:hAnsi="Times New Roman"/>
          <w:sz w:val="20"/>
        </w:rPr>
      </w:pPr>
      <w:r>
        <w:rPr>
          <w:rFonts w:ascii="Times New Roman" w:hAnsi="Times New Roman"/>
          <w:sz w:val="20"/>
        </w:rPr>
      </w:r>
    </w:p>
    <w:tbl>
      <w:tblPr>
        <w:tblW w:w="7695" w:type="dxa"/>
        <w:jc w:val="left"/>
        <w:tblInd w:w="0" w:type="dxa"/>
        <w:tblLayout w:type="fixed"/>
        <w:tblCellMar>
          <w:top w:w="0" w:type="dxa"/>
          <w:left w:w="0" w:type="dxa"/>
          <w:bottom w:w="28" w:type="dxa"/>
          <w:right w:w="0" w:type="dxa"/>
        </w:tblCellMar>
      </w:tblPr>
      <w:tblGrid>
        <w:gridCol w:w="2675"/>
        <w:gridCol w:w="60"/>
        <w:gridCol w:w="1310"/>
        <w:gridCol w:w="60"/>
        <w:gridCol w:w="3590"/>
      </w:tblGrid>
      <w:tr>
        <w:trPr/>
        <w:tc>
          <w:tcPr>
            <w:tcW w:w="2675"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31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Trading symbol</w:t>
            </w:r>
          </w:p>
        </w:tc>
        <w:tc>
          <w:tcPr>
            <w:tcW w:w="60" w:type="dxa"/>
            <w:tcBorders/>
            <w:tcMar>
              <w:bottom w:w="0" w:type="dxa"/>
            </w:tcMar>
            <w:vAlign w:val="center"/>
          </w:tcPr>
          <w:p>
            <w:pPr>
              <w:pStyle w:val="TableContents"/>
              <w:bidi w:val="0"/>
              <w:spacing w:before="0" w:after="283"/>
              <w:jc w:val="left"/>
              <w:rPr/>
            </w:pPr>
            <w:r>
              <w:rPr/>
              <w:t> </w:t>
            </w:r>
          </w:p>
        </w:tc>
        <w:tc>
          <w:tcPr>
            <w:tcW w:w="3590" w:type="dxa"/>
            <w:tcBorders>
              <w:bottom w:val="single" w:sz="12" w:space="0" w:color="000000"/>
            </w:tcBorders>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Name of each exchange on which registered</w:t>
            </w:r>
          </w:p>
        </w:tc>
      </w:tr>
      <w:tr>
        <w:trPr/>
        <w:tc>
          <w:tcPr>
            <w:tcW w:w="2675"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Common Stock, $.001 Par Value</w:t>
            </w:r>
          </w:p>
        </w:tc>
        <w:tc>
          <w:tcPr>
            <w:tcW w:w="60" w:type="dxa"/>
            <w:tcBorders/>
            <w:tcMar>
              <w:bottom w:w="0" w:type="dxa"/>
            </w:tcMar>
            <w:vAlign w:val="center"/>
          </w:tcPr>
          <w:p>
            <w:pPr>
              <w:pStyle w:val="TableContents"/>
              <w:bidi w:val="0"/>
              <w:spacing w:before="0" w:after="283"/>
              <w:jc w:val="left"/>
              <w:rPr/>
            </w:pPr>
            <w:r>
              <w:rPr/>
              <w:t> </w:t>
            </w:r>
          </w:p>
        </w:tc>
        <w:tc>
          <w:tcPr>
            <w:tcW w:w="1310" w:type="dxa"/>
            <w:tcBorders/>
            <w:tcMar>
              <w:bottom w:w="0" w:type="dxa"/>
            </w:tcMar>
            <w:vAlign w:val="center"/>
          </w:tcPr>
          <w:p>
            <w:pPr>
              <w:pStyle w:val="TableContents"/>
              <w:bidi w:val="0"/>
              <w:spacing w:before="0" w:after="0"/>
              <w:jc w:val="center"/>
              <w:rPr>
                <w:color w:val="000000"/>
              </w:rPr>
            </w:pPr>
            <w:r>
              <w:rPr>
                <w:color w:val="000000"/>
              </w:rPr>
              <w:t>“</w:t>
            </w:r>
            <w:r>
              <w:rPr>
                <w:rFonts w:ascii="Times New Roman" w:hAnsi="Times New Roman"/>
                <w:color w:val="000000"/>
                <w:sz w:val="20"/>
              </w:rPr>
              <w:t>IONS”</w:t>
            </w:r>
          </w:p>
        </w:tc>
        <w:tc>
          <w:tcPr>
            <w:tcW w:w="60" w:type="dxa"/>
            <w:tcBorders/>
            <w:tcMar>
              <w:bottom w:w="0" w:type="dxa"/>
            </w:tcMar>
            <w:vAlign w:val="center"/>
          </w:tcPr>
          <w:p>
            <w:pPr>
              <w:pStyle w:val="TableContents"/>
              <w:bidi w:val="0"/>
              <w:spacing w:before="0" w:after="283"/>
              <w:jc w:val="left"/>
              <w:rPr/>
            </w:pPr>
            <w:r>
              <w:rPr/>
              <w:t> </w:t>
            </w:r>
          </w:p>
        </w:tc>
        <w:tc>
          <w:tcPr>
            <w:tcW w:w="3590" w:type="dxa"/>
            <w:tcBorders/>
            <w:tcMar>
              <w:bottom w:w="0" w:type="dxa"/>
            </w:tcMar>
            <w:vAlign w:val="center"/>
          </w:tcPr>
          <w:p>
            <w:pPr>
              <w:pStyle w:val="TableContents"/>
              <w:bidi w:val="0"/>
              <w:spacing w:before="0" w:after="0"/>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Indicate by check mark whether the registrant is an emerging growth company as defined in Rule 405 of the Securities Act of 1933 (Section 230.405 of this chapter) or Rule 12b-2 of the Securities Exchange Act of 1934 (Section 240.12b-2 of this chapter).</w:t>
      </w:r>
    </w:p>
    <w:p>
      <w:pPr>
        <w:pStyle w:val="Normal"/>
        <w:bidi w:val="0"/>
        <w:spacing w:before="0" w:after="0"/>
        <w:jc w:val="left"/>
        <w:rPr>
          <w:sz w:val="4"/>
          <w:szCs w:val="4"/>
        </w:rPr>
      </w:pPr>
      <w:r>
        <w:rPr>
          <w:sz w:val="4"/>
          <w:szCs w:val="4"/>
        </w:rPr>
      </w:r>
      <w:bookmarkStart w:id="0" w:name="z_Hlk11148519"/>
      <w:bookmarkStart w:id="1" w:name="z_Hlk11148519"/>
      <w:bookmarkEnd w:id="1"/>
    </w:p>
    <w:tbl>
      <w:tblPr>
        <w:tblW w:w="2455" w:type="dxa"/>
        <w:jc w:val="left"/>
        <w:tblInd w:w="0" w:type="dxa"/>
        <w:tblLayout w:type="fixed"/>
        <w:tblCellMar>
          <w:top w:w="0" w:type="dxa"/>
          <w:left w:w="0" w:type="dxa"/>
          <w:bottom w:w="0" w:type="dxa"/>
          <w:right w:w="0" w:type="dxa"/>
        </w:tblCellMar>
      </w:tblPr>
      <w:tblGrid>
        <w:gridCol w:w="2225"/>
        <w:gridCol w:w="230"/>
      </w:tblGrid>
      <w:tr>
        <w:trPr/>
        <w:tc>
          <w:tcPr>
            <w:tcW w:w="2225" w:type="dxa"/>
            <w:tcBorders/>
            <w:vAlign w:val="center"/>
          </w:tcPr>
          <w:p>
            <w:pPr>
              <w:pStyle w:val="TableContents"/>
              <w:bidi w:val="0"/>
              <w:spacing w:before="0" w:after="0"/>
              <w:jc w:val="right"/>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jc w:val="right"/>
              <w:rPr>
                <w:color w:val="000000"/>
              </w:rPr>
            </w:pPr>
            <w:r>
              <w:rPr>
                <w:color w:val="000000"/>
              </w:rPr>
              <w:t>☐</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color w:val="000000"/>
          <w:shd w:fill="FFFFFF" w:val="clear"/>
        </w:rPr>
      </w:pPr>
      <w:r>
        <w:rPr>
          <w:color w:val="000000"/>
          <w:shd w:fill="FFFFFF" w:val="clear"/>
        </w:rPr>
        <w:t xml:space="preserve">  </w:t>
      </w:r>
    </w:p>
    <w:p>
      <w:pPr>
        <w:pStyle w:val="HorizontalLine"/>
        <w:bidi w:val="0"/>
        <w:jc w:val="left"/>
        <w:rPr/>
      </w:pPr>
      <w:r>
        <w:rPr/>
      </w:r>
    </w:p>
    <w:p>
      <w:pPr>
        <w:pStyle w:val="HorizontalLine"/>
        <w:bidi w:val="0"/>
        <w:spacing w:before="200" w:after="200"/>
        <w:jc w:val="left"/>
        <w:rPr/>
      </w:pPr>
      <w:r>
        <w:rPr/>
      </w:r>
    </w:p>
    <w:tbl>
      <w:tblPr>
        <w:tblW w:w="4810" w:type="dxa"/>
        <w:jc w:val="left"/>
        <w:tblInd w:w="0" w:type="dxa"/>
        <w:tblLayout w:type="fixed"/>
        <w:tblCellMar>
          <w:top w:w="0" w:type="dxa"/>
          <w:left w:w="0" w:type="dxa"/>
          <w:bottom w:w="0" w:type="dxa"/>
          <w:right w:w="0" w:type="dxa"/>
        </w:tblCellMar>
      </w:tblPr>
      <w:tblGrid>
        <w:gridCol w:w="830"/>
        <w:gridCol w:w="3980"/>
      </w:tblGrid>
      <w:tr>
        <w:trPr/>
        <w:tc>
          <w:tcPr>
            <w:tcW w:w="830"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2.02</w:t>
            </w:r>
          </w:p>
        </w:tc>
        <w:tc>
          <w:tcPr>
            <w:tcW w:w="398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Results of Operations and Financial Condition.</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On July 29, 2026, Ionis Pharmaceuticals, Inc. (the “</w:t>
      </w:r>
      <w:r>
        <w:rPr>
          <w:rFonts w:ascii="Times New Roman" w:hAnsi="Times New Roman"/>
          <w:b/>
          <w:i/>
          <w:color w:val="000000"/>
          <w:sz w:val="20"/>
          <w:shd w:fill="FFFFFF" w:val="clear"/>
        </w:rPr>
        <w:t>Company</w:t>
      </w:r>
      <w:r>
        <w:rPr>
          <w:rFonts w:ascii="Times New Roman" w:hAnsi="Times New Roman"/>
          <w:color w:val="000000"/>
          <w:sz w:val="20"/>
          <w:shd w:fill="FFFFFF" w:val="clear"/>
        </w:rPr>
        <w:t>”) issued a press release announcing the Company’s financial results for the quarter ended June 30, 2026.  In addition to disclosing results that are determined in accordance with Generally Accepted Accounting Principles (“</w:t>
      </w:r>
      <w:r>
        <w:rPr>
          <w:rFonts w:ascii="Times New Roman" w:hAnsi="Times New Roman"/>
          <w:b/>
          <w:i/>
          <w:color w:val="000000"/>
          <w:sz w:val="20"/>
          <w:shd w:fill="FFFFFF" w:val="clear"/>
        </w:rPr>
        <w:t>GAAP</w:t>
      </w:r>
      <w:r>
        <w:rPr>
          <w:rFonts w:ascii="Times New Roman" w:hAnsi="Times New Roman"/>
          <w:color w:val="000000"/>
          <w:sz w:val="20"/>
          <w:shd w:fill="FFFFFF" w:val="clear"/>
        </w:rPr>
        <w:t>”), the Company also discloses pro forma or non-GAAP results of operations, which are adjusted from GAAP to exclude non-cash compensation expense related to equity awards and the related tax effects. The Company is presenting pro forma information excluding non-cash compensation expense related to equity awards and the related tax effects because the Company believes it better enables financial statement users to assess and compare its historical performance and project its future operating results and cash flows.  A copy of the release is furnished with this report as an exhibit pursuant to “Item 2.02. Results of Operations and Financial Condition” of Form 8-K in accordance with SEC Release Nos. 33-8216 and 34-47583.</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The information in this Current Report on Form 8-K and the Exhibit attached hereto shall not be deemed “filed” for purposes of Section 18 of the Securities Exchange Act of 1934 (the “</w:t>
      </w:r>
      <w:r>
        <w:rPr>
          <w:rFonts w:ascii="Times New Roman" w:hAnsi="Times New Roman"/>
          <w:b/>
          <w:i/>
          <w:color w:val="000000"/>
          <w:sz w:val="20"/>
          <w:shd w:fill="FFFFFF" w:val="clear"/>
        </w:rPr>
        <w:t>Exchange Act</w:t>
      </w:r>
      <w:r>
        <w:rPr>
          <w:rFonts w:ascii="Times New Roman" w:hAnsi="Times New Roman"/>
          <w:color w:val="000000"/>
          <w:sz w:val="20"/>
          <w:shd w:fill="FFFFFF" w:val="clear"/>
        </w:rPr>
        <w:t>”) or otherwise subject to the liabilities of that section, nor shall it be deemed incorporated by reference in any filing under the Securities Act of 1933 or the Exchange Act, regardless of any general incorporation language in such filing.</w:t>
      </w:r>
    </w:p>
    <w:p>
      <w:pPr>
        <w:pStyle w:val="TextBody"/>
        <w:bidi w:val="0"/>
        <w:spacing w:before="0" w:after="0"/>
        <w:jc w:val="left"/>
        <w:rPr>
          <w:color w:val="000000"/>
          <w:shd w:fill="FFFFFF" w:val="clear"/>
        </w:rPr>
      </w:pPr>
      <w:r>
        <w:rPr>
          <w:color w:val="000000"/>
          <w:shd w:fill="FFFFFF" w:val="clear"/>
        </w:rPr>
        <w:t> </w:t>
      </w:r>
    </w:p>
    <w:tbl>
      <w:tblPr>
        <w:tblW w:w="3835" w:type="dxa"/>
        <w:jc w:val="left"/>
        <w:tblInd w:w="0" w:type="dxa"/>
        <w:tblLayout w:type="fixed"/>
        <w:tblCellMar>
          <w:top w:w="0" w:type="dxa"/>
          <w:left w:w="0" w:type="dxa"/>
          <w:bottom w:w="0" w:type="dxa"/>
          <w:right w:w="0" w:type="dxa"/>
        </w:tblCellMar>
      </w:tblPr>
      <w:tblGrid>
        <w:gridCol w:w="875"/>
        <w:gridCol w:w="2960"/>
      </w:tblGrid>
      <w:tr>
        <w:trPr/>
        <w:tc>
          <w:tcPr>
            <w:tcW w:w="875" w:type="dxa"/>
            <w:tcBorders/>
            <w:vAlign w:val="center"/>
          </w:tcPr>
          <w:p>
            <w:pPr>
              <w:pStyle w:val="TableContents"/>
              <w:bidi w:val="0"/>
              <w:spacing w:before="0" w:after="283"/>
              <w:jc w:val="left"/>
              <w:rPr>
                <w:rFonts w:ascii="Times New Roman" w:hAnsi="Times New Roman"/>
                <w:b/>
                <w:sz w:val="20"/>
              </w:rPr>
            </w:pPr>
            <w:r>
              <w:rPr>
                <w:rFonts w:ascii="Times New Roman" w:hAnsi="Times New Roman"/>
                <w:b/>
                <w:sz w:val="20"/>
              </w:rPr>
              <w:t>Item 9.01.</w:t>
            </w:r>
          </w:p>
        </w:tc>
        <w:tc>
          <w:tcPr>
            <w:tcW w:w="2960" w:type="dxa"/>
            <w:tcBorders/>
            <w:vAlign w:val="center"/>
          </w:tcPr>
          <w:p>
            <w:pPr>
              <w:pStyle w:val="TableContents"/>
              <w:bidi w:val="0"/>
              <w:spacing w:before="0" w:after="0"/>
              <w:jc w:val="both"/>
              <w:rPr>
                <w:rFonts w:ascii="Times New Roman" w:hAnsi="Times New Roman"/>
                <w:b/>
                <w:sz w:val="20"/>
              </w:rPr>
            </w:pPr>
            <w:r>
              <w:rPr>
                <w:rFonts w:ascii="Times New Roman" w:hAnsi="Times New Roman"/>
                <w:b/>
                <w:sz w:val="20"/>
              </w:rPr>
              <w:t>Financial Statements and Exhibits.</w:t>
            </w:r>
          </w:p>
        </w:tc>
      </w:tr>
    </w:tbl>
    <w:p>
      <w:pPr>
        <w:pStyle w:val="TextBody"/>
        <w:bidi w:val="0"/>
        <w:spacing w:before="0" w:after="0"/>
        <w:jc w:val="left"/>
        <w:rPr>
          <w:color w:val="000000"/>
          <w:shd w:fill="FFFFFF" w:val="clear"/>
        </w:rPr>
      </w:pPr>
      <w:r>
        <w:rPr>
          <w:color w:val="000000"/>
          <w:shd w:fill="FFFFFF" w:val="clear"/>
        </w:rPr>
        <w:t> </w:t>
      </w:r>
    </w:p>
    <w:p>
      <w:pPr>
        <w:pStyle w:val="TextBody"/>
        <w:bidi w:val="0"/>
        <w:spacing w:before="0" w:after="0"/>
        <w:jc w:val="both"/>
        <w:rPr>
          <w:rFonts w:ascii="Times New Roman" w:hAnsi="Times New Roman"/>
          <w:color w:val="000000"/>
          <w:sz w:val="20"/>
          <w:shd w:fill="FFFFFF" w:val="clear"/>
        </w:rPr>
      </w:pPr>
      <w:r>
        <w:rPr>
          <w:rFonts w:ascii="Times New Roman" w:hAnsi="Times New Roman"/>
          <w:color w:val="000000"/>
          <w:sz w:val="20"/>
          <w:shd w:fill="FFFFFF" w:val="clear"/>
        </w:rPr>
        <w:t>(d) Exhibits.</w:t>
      </w:r>
    </w:p>
    <w:p>
      <w:pPr>
        <w:pStyle w:val="TextBody"/>
        <w:bidi w:val="0"/>
        <w:spacing w:before="0" w:after="0"/>
        <w:jc w:val="left"/>
        <w:rPr>
          <w:color w:val="000000"/>
          <w:shd w:fill="FFFFFF" w:val="clear"/>
        </w:rPr>
      </w:pPr>
      <w:r>
        <w:rPr>
          <w:color w:val="000000"/>
          <w:shd w:fill="FFFFFF" w:val="clear"/>
        </w:rPr>
        <w:t> </w:t>
      </w:r>
    </w:p>
    <w:tbl>
      <w:tblPr>
        <w:tblW w:w="7495" w:type="dxa"/>
        <w:jc w:val="left"/>
        <w:tblInd w:w="0" w:type="dxa"/>
        <w:tblLayout w:type="fixed"/>
        <w:tblCellMar>
          <w:top w:w="0" w:type="dxa"/>
          <w:left w:w="0" w:type="dxa"/>
          <w:bottom w:w="0" w:type="dxa"/>
          <w:right w:w="0" w:type="dxa"/>
        </w:tblCellMar>
      </w:tblPr>
      <w:tblGrid>
        <w:gridCol w:w="980"/>
        <w:gridCol w:w="6515"/>
      </w:tblGrid>
      <w:tr>
        <w:trPr/>
        <w:tc>
          <w:tcPr>
            <w:tcW w:w="980" w:type="dxa"/>
            <w:tcBorders/>
            <w:vAlign w:val="center"/>
          </w:tcPr>
          <w:p>
            <w:pPr>
              <w:pStyle w:val="TableContents"/>
              <w:bidi w:val="0"/>
              <w:spacing w:before="0" w:after="0"/>
              <w:jc w:val="center"/>
              <w:rPr>
                <w:rFonts w:ascii="Times New Roman" w:hAnsi="Times New Roman"/>
                <w:b/>
                <w:sz w:val="20"/>
                <w:u w:val="single"/>
              </w:rPr>
            </w:pPr>
            <w:r>
              <w:rPr>
                <w:rFonts w:ascii="Times New Roman" w:hAnsi="Times New Roman"/>
                <w:b/>
                <w:sz w:val="20"/>
                <w:u w:val="single"/>
              </w:rPr>
              <w:t>Exhibit No.</w:t>
            </w:r>
          </w:p>
        </w:tc>
        <w:tc>
          <w:tcPr>
            <w:tcW w:w="6515" w:type="dxa"/>
            <w:tcBorders/>
            <w:vAlign w:val="center"/>
          </w:tcPr>
          <w:p>
            <w:pPr>
              <w:pStyle w:val="TableContents"/>
              <w:bidi w:val="0"/>
              <w:spacing w:before="0" w:after="0"/>
              <w:jc w:val="left"/>
              <w:rPr>
                <w:rFonts w:ascii="Times New Roman" w:hAnsi="Times New Roman"/>
                <w:b/>
                <w:sz w:val="20"/>
                <w:u w:val="single"/>
              </w:rPr>
            </w:pPr>
            <w:r>
              <w:rPr>
                <w:rFonts w:ascii="Times New Roman" w:hAnsi="Times New Roman"/>
                <w:b/>
                <w:sz w:val="20"/>
                <w:u w:val="single"/>
              </w:rPr>
              <w:t>Description</w:t>
            </w:r>
          </w:p>
        </w:tc>
      </w:tr>
      <w:tr>
        <w:trPr/>
        <w:tc>
          <w:tcPr>
            <w:tcW w:w="980" w:type="dxa"/>
            <w:tcBorders/>
            <w:vAlign w:val="center"/>
          </w:tcPr>
          <w:p>
            <w:pPr>
              <w:pStyle w:val="TableContents"/>
              <w:bidi w:val="0"/>
              <w:spacing w:before="0" w:after="0"/>
              <w:jc w:val="center"/>
              <w:rPr/>
            </w:pPr>
            <w:hyperlink w:anchor="ef20078953_ex99-1.htm">
              <w:r>
                <w:rPr>
                  <w:rStyle w:val="InternetLink"/>
                  <w:rFonts w:ascii="Times New Roman" w:hAnsi="Times New Roman"/>
                  <w:sz w:val="20"/>
                </w:rPr>
                <w:t>99.1</w:t>
              </w:r>
            </w:hyperlink>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Press Release dated July 29, 2026.</w:t>
            </w:r>
          </w:p>
        </w:tc>
      </w:tr>
      <w:tr>
        <w:trPr/>
        <w:tc>
          <w:tcPr>
            <w:tcW w:w="980" w:type="dxa"/>
            <w:tcBorders/>
            <w:vAlign w:val="center"/>
          </w:tcPr>
          <w:p>
            <w:pPr>
              <w:pStyle w:val="TableContents"/>
              <w:bidi w:val="0"/>
              <w:spacing w:before="0" w:after="283"/>
              <w:jc w:val="left"/>
              <w:rPr/>
            </w:pPr>
            <w:r>
              <w:rPr/>
              <w:t> </w:t>
            </w:r>
          </w:p>
        </w:tc>
        <w:tc>
          <w:tcPr>
            <w:tcW w:w="6515" w:type="dxa"/>
            <w:tcBorders/>
            <w:vAlign w:val="center"/>
          </w:tcPr>
          <w:p>
            <w:pPr>
              <w:pStyle w:val="TableContents"/>
              <w:bidi w:val="0"/>
              <w:spacing w:before="0" w:after="283"/>
              <w:jc w:val="left"/>
              <w:rPr/>
            </w:pPr>
            <w:r>
              <w:rPr/>
              <w:t> </w:t>
            </w:r>
          </w:p>
        </w:tc>
      </w:tr>
      <w:tr>
        <w:trPr/>
        <w:tc>
          <w:tcPr>
            <w:tcW w:w="980" w:type="dxa"/>
            <w:tcBorders/>
            <w:vAlign w:val="center"/>
          </w:tcPr>
          <w:p>
            <w:pPr>
              <w:pStyle w:val="TableContents"/>
              <w:bidi w:val="0"/>
              <w:spacing w:before="0" w:after="0"/>
              <w:jc w:val="center"/>
              <w:rPr>
                <w:rFonts w:ascii="Times New Roman" w:hAnsi="Times New Roman"/>
                <w:sz w:val="20"/>
              </w:rPr>
            </w:pPr>
            <w:r>
              <w:rPr>
                <w:rFonts w:ascii="Times New Roman" w:hAnsi="Times New Roman"/>
                <w:sz w:val="20"/>
              </w:rPr>
              <w:t>104</w:t>
            </w:r>
          </w:p>
        </w:tc>
        <w:tc>
          <w:tcPr>
            <w:tcW w:w="6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Cover Page Interactive Data File (embedded within the Inline XBRL document).</w:t>
            </w:r>
          </w:p>
        </w:tc>
      </w:tr>
    </w:tbl>
    <w:p>
      <w:pPr>
        <w:pStyle w:val="TextBody"/>
        <w:bidi w:val="0"/>
        <w:spacing w:before="0" w:after="0"/>
        <w:jc w:val="both"/>
        <w:rPr>
          <w:rFonts w:ascii="Times New Roman" w:hAnsi="Times New Roman"/>
          <w:sz w:val="20"/>
        </w:rPr>
      </w:pPr>
      <w:r>
        <w:rPr>
          <w:rFonts w:ascii="Times New Roman" w:hAnsi="Times New Roman"/>
          <w:sz w:val="20"/>
        </w:rPr>
      </w:r>
    </w:p>
    <w:p>
      <w:pPr>
        <w:pStyle w:val="HorizontalLine"/>
        <w:bidi w:val="0"/>
        <w:spacing w:before="200" w:after="200"/>
        <w:jc w:val="left"/>
        <w:rPr/>
      </w:pPr>
      <w:r>
        <w:rPr/>
      </w:r>
    </w:p>
    <w:p>
      <w:pPr>
        <w:pStyle w:val="TextBody"/>
        <w:bidi w:val="0"/>
        <w:spacing w:before="0" w:after="0"/>
        <w:jc w:val="center"/>
        <w:rPr>
          <w:rFonts w:ascii="Times New Roman" w:hAnsi="Times New Roman"/>
          <w:b/>
          <w:smallCaps/>
          <w:color w:val="000000"/>
          <w:sz w:val="20"/>
          <w:shd w:fill="FFFFFF" w:val="clear"/>
        </w:rPr>
      </w:pPr>
      <w:r>
        <w:rPr>
          <w:rFonts w:ascii="Times New Roman" w:hAnsi="Times New Roman"/>
          <w:b/>
          <w:smallCaps/>
          <w:color w:val="000000"/>
          <w:sz w:val="20"/>
          <w:shd w:fill="FFFFFF" w:val="clear"/>
        </w:rPr>
        <w:t>SIGNATURE</w:t>
      </w:r>
    </w:p>
    <w:p>
      <w:pPr>
        <w:pStyle w:val="TextBody"/>
        <w:bidi w:val="0"/>
        <w:spacing w:before="0" w:after="0"/>
        <w:jc w:val="left"/>
        <w:rPr>
          <w:color w:val="000000"/>
          <w:shd w:fill="FFFFFF" w:val="clear"/>
        </w:rPr>
      </w:pPr>
      <w:r>
        <w:rPr>
          <w:color w:val="000000"/>
          <w:shd w:fill="FFFFFF" w:val="clear"/>
        </w:rPr>
        <w:t> </w:t>
      </w:r>
    </w:p>
    <w:p>
      <w:pPr>
        <w:pStyle w:val="TextBody"/>
        <w:bidi w:val="0"/>
        <w:spacing w:before="0" w:after="0"/>
        <w:ind w:left="0" w:right="0" w:firstLine="720"/>
        <w:jc w:val="both"/>
        <w:rPr>
          <w:rFonts w:ascii="Times New Roman" w:hAnsi="Times New Roman"/>
          <w:color w:val="000000"/>
          <w:sz w:val="20"/>
          <w:shd w:fill="FFFFFF" w:val="clear"/>
        </w:rPr>
      </w:pPr>
      <w:r>
        <w:rPr>
          <w:rFonts w:ascii="Times New Roman" w:hAnsi="Times New Roman"/>
          <w:color w:val="000000"/>
          <w:sz w:val="20"/>
          <w:shd w:fill="FFFFFF" w:val="clear"/>
        </w:rPr>
        <w:t>Pursuant to the requirements of the Securities Exchange Act of 1934, as amended, the registrant has duly caused this report to be signed on its behalf by the undersigned, thereunto duly authorized.</w:t>
      </w:r>
    </w:p>
    <w:p>
      <w:pPr>
        <w:pStyle w:val="TextBody"/>
        <w:bidi w:val="0"/>
        <w:spacing w:before="0" w:after="0"/>
        <w:jc w:val="left"/>
        <w:rPr>
          <w:color w:val="000000"/>
          <w:shd w:fill="FFFFFF" w:val="clear"/>
        </w:rPr>
      </w:pPr>
      <w:r>
        <w:rPr>
          <w:color w:val="000000"/>
          <w:shd w:fill="FFFFFF" w:val="clear"/>
        </w:rPr>
        <w:t> </w:t>
      </w:r>
    </w:p>
    <w:tbl>
      <w:tblPr>
        <w:tblW w:w="7530" w:type="dxa"/>
        <w:jc w:val="left"/>
        <w:tblInd w:w="0" w:type="dxa"/>
        <w:tblLayout w:type="fixed"/>
        <w:tblCellMar>
          <w:top w:w="0" w:type="dxa"/>
          <w:left w:w="0" w:type="dxa"/>
          <w:bottom w:w="0" w:type="dxa"/>
          <w:right w:w="0" w:type="dxa"/>
        </w:tblCellMar>
      </w:tblPr>
      <w:tblGrid>
        <w:gridCol w:w="1760"/>
        <w:gridCol w:w="320"/>
        <w:gridCol w:w="5450"/>
      </w:tblGrid>
      <w:tr>
        <w:trPr/>
        <w:tc>
          <w:tcPr>
            <w:tcW w:w="176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Ionis Pharmaceuticals, Inc.</w:t>
            </w:r>
          </w:p>
        </w:tc>
      </w:tr>
      <w:tr>
        <w:trPr/>
        <w:tc>
          <w:tcPr>
            <w:tcW w:w="1760" w:type="dxa"/>
            <w:tcBorders/>
            <w:vAlign w:val="center"/>
          </w:tcPr>
          <w:p>
            <w:pPr>
              <w:pStyle w:val="TableContents"/>
              <w:bidi w:val="0"/>
              <w:spacing w:before="0" w:after="283"/>
              <w:jc w:val="left"/>
              <w:rPr/>
            </w:pPr>
            <w:r>
              <w:rPr/>
              <w:t> </w:t>
            </w:r>
          </w:p>
        </w:tc>
        <w:tc>
          <w:tcPr>
            <w:tcW w:w="5770" w:type="dxa"/>
            <w:gridSpan w:val="2"/>
            <w:tcBorders/>
            <w:vAlign w:val="center"/>
          </w:tcPr>
          <w:p>
            <w:pPr>
              <w:pStyle w:val="TableContents"/>
              <w:bidi w:val="0"/>
              <w:spacing w:before="0" w:after="283"/>
              <w:jc w:val="left"/>
              <w:rPr/>
            </w:pPr>
            <w:r>
              <w:rPr/>
              <w:t> </w:t>
            </w:r>
          </w:p>
        </w:tc>
      </w:tr>
      <w:tr>
        <w:trPr/>
        <w:tc>
          <w:tcPr>
            <w:tcW w:w="176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Dated:  July 29, 2026</w:t>
            </w:r>
          </w:p>
        </w:tc>
        <w:tc>
          <w:tcPr>
            <w:tcW w:w="32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By:</w:t>
            </w:r>
          </w:p>
        </w:tc>
        <w:tc>
          <w:tcPr>
            <w:tcW w:w="5450" w:type="dxa"/>
            <w:tcBorders>
              <w:bottom w:val="single" w:sz="12" w:space="0" w:color="000000"/>
            </w:tcBorders>
            <w:tcMar>
              <w:bottom w:w="28" w:type="dxa"/>
            </w:tcMar>
            <w:vAlign w:val="center"/>
          </w:tcPr>
          <w:p>
            <w:pPr>
              <w:pStyle w:val="TableContents"/>
              <w:bidi w:val="0"/>
              <w:spacing w:before="0" w:after="0"/>
              <w:jc w:val="both"/>
              <w:rPr>
                <w:rFonts w:ascii="Times New Roman" w:hAnsi="Times New Roman"/>
                <w:sz w:val="20"/>
              </w:rPr>
            </w:pPr>
            <w:r>
              <w:rPr>
                <w:rFonts w:ascii="Times New Roman" w:hAnsi="Times New Roman"/>
                <w:sz w:val="20"/>
              </w:rPr>
              <w:t>/s/ Patrick R. O’Neil</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Times New Roman" w:hAnsi="Times New Roman"/>
                <w:b/>
                <w:smallCaps/>
                <w:sz w:val="20"/>
              </w:rPr>
            </w:pPr>
            <w:r>
              <w:rPr>
                <w:rFonts w:ascii="Times New Roman" w:hAnsi="Times New Roman"/>
                <w:b/>
                <w:smallCaps/>
                <w:sz w:val="20"/>
              </w:rPr>
              <w:t>Patrick R. O’Neil</w:t>
            </w:r>
          </w:p>
        </w:tc>
      </w:tr>
      <w:tr>
        <w:trPr/>
        <w:tc>
          <w:tcPr>
            <w:tcW w:w="176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Executive Vice President, Chief Legal Officer and General Counsel</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bidi w:val="0"/>
        <w:jc w:val="left"/>
        <w:rPr/>
      </w:pPr>
      <w:r>
        <w:rPr/>
      </w:r>
    </w:p>
    <w:p>
      <w:pPr>
        <w:pStyle w:val="HorizontalLine"/>
        <w:pBdr>
          <w:bottom w:val="single" w:sz="12" w:space="0" w:color="808080"/>
        </w:pBdr>
        <w:bidi w:val="0"/>
        <w:jc w:val="left"/>
        <w:rPr/>
      </w:pPr>
      <w:r>
        <w:rPr/>
      </w:r>
      <w:bookmarkStart w:id="2" w:name="ef20078953_ex99-1.htm"/>
      <w:bookmarkStart w:id="3" w:name="ksef20078953_ex991"/>
      <w:bookmarkStart w:id="4" w:name="ef20078953_ex99-1.htm"/>
      <w:bookmarkStart w:id="5" w:name="ksef20078953_ex991"/>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99.1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color w:val="000000"/>
        </w:rPr>
      </w:pPr>
      <w:r>
        <w:rPr>
          <w:color w:val="000000"/>
        </w:rPr>
        <w:drawing>
          <wp:inline distT="0" distB="0" distL="0" distR="0">
            <wp:extent cx="139065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90650" cy="447675"/>
                    </a:xfrm>
                    <a:prstGeom prst="rect">
                      <a:avLst/>
                    </a:prstGeom>
                  </pic:spPr>
                </pic:pic>
              </a:graphicData>
            </a:graphic>
          </wp:inline>
        </w:drawing>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reports second quarter 2026 financial results and highlights progress on key programs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ind w:left="360" w:right="0" w:hanging="0"/>
        <w:jc w:val="center"/>
        <w:rPr>
          <w:rFonts w:ascii="Times New Roman" w:hAnsi="Times New Roman"/>
          <w:i/>
          <w:color w:val="000000"/>
          <w:sz w:val="20"/>
        </w:rPr>
      </w:pPr>
      <w:r>
        <w:rPr>
          <w:rFonts w:ascii="Times New Roman" w:hAnsi="Times New Roman"/>
          <w:i/>
          <w:color w:val="000000"/>
          <w:sz w:val="20"/>
        </w:rPr>
        <w:t>- TRYNGOLZA® (olezarsen) demonstrating early sHTG launch momentum, underscoring multi-billion-dollar revenue potential in large patient population –</w:t>
      </w:r>
    </w:p>
    <w:p>
      <w:pPr>
        <w:pStyle w:val="TextBody"/>
        <w:bidi w:val="0"/>
        <w:spacing w:before="0" w:after="0"/>
        <w:jc w:val="left"/>
        <w:rPr>
          <w:color w:val="000000"/>
        </w:rPr>
      </w:pPr>
      <w:r>
        <w:rPr>
          <w:color w:val="000000"/>
        </w:rPr>
        <w:t> </w:t>
      </w:r>
    </w:p>
    <w:p>
      <w:pPr>
        <w:pStyle w:val="TextBody"/>
        <w:bidi w:val="0"/>
        <w:spacing w:before="0" w:after="0"/>
        <w:ind w:left="360" w:right="0" w:hanging="0"/>
        <w:jc w:val="center"/>
        <w:rPr>
          <w:rFonts w:ascii="Times New Roman" w:hAnsi="Times New Roman"/>
          <w:i/>
          <w:color w:val="000000"/>
          <w:sz w:val="20"/>
        </w:rPr>
      </w:pPr>
      <w:r>
        <w:rPr>
          <w:rFonts w:ascii="Times New Roman" w:hAnsi="Times New Roman"/>
          <w:i/>
          <w:color w:val="000000"/>
          <w:sz w:val="20"/>
        </w:rPr>
        <w:t>- Completed enrollment in Phase 3 REVEAL trial in Angelman syndrome -</w:t>
      </w:r>
    </w:p>
    <w:p>
      <w:pPr>
        <w:pStyle w:val="TextBody"/>
        <w:bidi w:val="0"/>
        <w:spacing w:before="0" w:after="0"/>
        <w:jc w:val="left"/>
        <w:rPr>
          <w:color w:val="000000"/>
        </w:rPr>
      </w:pPr>
      <w:r>
        <w:rPr>
          <w:color w:val="000000"/>
        </w:rPr>
        <w:t> </w:t>
      </w:r>
    </w:p>
    <w:p>
      <w:pPr>
        <w:pStyle w:val="TextBody"/>
        <w:bidi w:val="0"/>
        <w:spacing w:before="0" w:after="0"/>
        <w:ind w:left="360" w:right="0" w:hanging="0"/>
        <w:jc w:val="center"/>
        <w:rPr>
          <w:rFonts w:ascii="Times New Roman" w:hAnsi="Times New Roman"/>
          <w:i/>
          <w:color w:val="000000"/>
          <w:sz w:val="20"/>
        </w:rPr>
      </w:pPr>
      <w:r>
        <w:rPr>
          <w:rFonts w:ascii="Times New Roman" w:hAnsi="Times New Roman"/>
          <w:i/>
          <w:color w:val="000000"/>
          <w:sz w:val="20"/>
        </w:rPr>
        <w:t>- On track to achieve 2026 financial guidance -</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b/>
          <w:color w:val="000000"/>
          <w:sz w:val="20"/>
        </w:rPr>
        <w:t>CARLSBAD, Calif., July 29, 2026</w:t>
      </w:r>
      <w:r>
        <w:rPr>
          <w:rFonts w:ascii="Times New Roman" w:hAnsi="Times New Roman"/>
          <w:color w:val="000000"/>
          <w:sz w:val="20"/>
        </w:rPr>
        <w:t xml:space="preserve"> – Ionis Pharmaceuticals, Inc. (Nasdaq: IONS) (the “Company”) today reported financial results and provided key updates for the second quarter ended June 30, 2026.</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With the approval of TRYNGOLZA in late June, Ionis is bringing the first and only treatment to reduce triglycerides and acute pancreatitis to people living with severe hypertriglyceridemia. We are encouraged by the early launch momentum and look forward to accelerating growth from TRYNGOLZA and our other wholly owned medicines in the quarters and years to come,” said Brett P. Monia, Ph.D., chief executive officer of Ionis. “In the second half of this year, we expect multiple important milestones, including approval of zilganersen for Alexander disease, positioning us for our first independent launch from our leading neurology portfolio. We also expect results from the landmark pelacarsen Lp(a) HORIZON cardiovascular outcomes trial and the global launch of bepirovirsen for chronic hepatitis B. With our advancing pipeline and growing commercial momentum, Ionis is on track to deliver accelerating value to patients and all Ionis stakeholders.”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jc w:val="both"/>
        <w:rPr>
          <w:rFonts w:ascii="Times New Roman" w:hAnsi="Times New Roman"/>
          <w:b/>
          <w:color w:val="000000"/>
          <w:sz w:val="20"/>
        </w:rPr>
      </w:pPr>
      <w:r>
        <w:rPr>
          <w:rFonts w:ascii="Times New Roman" w:hAnsi="Times New Roman"/>
          <w:b/>
          <w:color w:val="000000"/>
          <w:sz w:val="20"/>
        </w:rPr>
        <w:t>Second Quarter 2026 Summary Financial Results(1):</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 w:name="z03004185549a4a83b32df0465e8dfcc9"/>
      <w:bookmarkStart w:id="7" w:name="z03004185549a4a83b32df0465e8dfcc9"/>
      <w:bookmarkEnd w:id="7"/>
    </w:p>
    <w:tbl>
      <w:tblPr>
        <w:tblW w:w="7841" w:type="dxa"/>
        <w:jc w:val="left"/>
        <w:tblInd w:w="0" w:type="dxa"/>
        <w:tblLayout w:type="fixed"/>
        <w:tblCellMar>
          <w:top w:w="0" w:type="dxa"/>
          <w:left w:w="0" w:type="dxa"/>
          <w:bottom w:w="0" w:type="dxa"/>
          <w:right w:w="0" w:type="dxa"/>
        </w:tblCellMar>
      </w:tblPr>
      <w:tblGrid>
        <w:gridCol w:w="4205"/>
        <w:gridCol w:w="120"/>
        <w:gridCol w:w="243"/>
        <w:gridCol w:w="566"/>
        <w:gridCol w:w="114"/>
        <w:gridCol w:w="86"/>
        <w:gridCol w:w="179"/>
        <w:gridCol w:w="480"/>
        <w:gridCol w:w="120"/>
        <w:gridCol w:w="120"/>
        <w:gridCol w:w="207"/>
        <w:gridCol w:w="481"/>
        <w:gridCol w:w="97"/>
        <w:gridCol w:w="73"/>
        <w:gridCol w:w="207"/>
        <w:gridCol w:w="408"/>
        <w:gridCol w:w="135"/>
      </w:tblGrid>
      <w:tr>
        <w:trPr/>
        <w:tc>
          <w:tcPr>
            <w:tcW w:w="42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668"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Three months ended</w:t>
            </w:r>
          </w:p>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1473"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Six months ended</w:t>
            </w:r>
          </w:p>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135"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8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114" w:type="dxa"/>
            <w:tcBorders>
              <w:bottom w:val="single" w:sz="12" w:space="0" w:color="000000"/>
            </w:tcBorders>
            <w:tcMar>
              <w:bottom w:w="28" w:type="dxa"/>
            </w:tcMar>
            <w:vAlign w:val="bottom"/>
          </w:tcPr>
          <w:p>
            <w:pPr>
              <w:pStyle w:val="TableContents"/>
              <w:bidi w:val="0"/>
              <w:spacing w:before="0" w:after="283"/>
              <w:jc w:val="left"/>
              <w:rPr/>
            </w:pPr>
            <w:r>
              <w:rPr/>
              <w:t> </w:t>
            </w:r>
          </w:p>
        </w:tc>
        <w:tc>
          <w:tcPr>
            <w:tcW w:w="86" w:type="dxa"/>
            <w:tcBorders>
              <w:bottom w:val="single" w:sz="12" w:space="0" w:color="000000"/>
            </w:tcBorders>
            <w:tcMar>
              <w:bottom w:w="28" w:type="dxa"/>
            </w:tcMar>
            <w:vAlign w:val="bottom"/>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12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6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135" w:type="dxa"/>
            <w:tcBorders/>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3381" w:type="dxa"/>
            <w:gridSpan w:val="14"/>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(amounts in millions)</w:t>
            </w:r>
          </w:p>
        </w:tc>
        <w:tc>
          <w:tcPr>
            <w:tcW w:w="13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Total revenue</w:t>
            </w:r>
          </w:p>
        </w:tc>
        <w:tc>
          <w:tcPr>
            <w:tcW w:w="1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268</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452</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514</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584</w:t>
            </w:r>
          </w:p>
        </w:tc>
        <w:tc>
          <w:tcPr>
            <w:tcW w:w="13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expenses</w:t>
            </w:r>
          </w:p>
        </w:tc>
        <w:tc>
          <w:tcPr>
            <w:tcW w:w="12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370</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312</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734</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591</w:t>
            </w:r>
          </w:p>
        </w:tc>
        <w:tc>
          <w:tcPr>
            <w:tcW w:w="135" w:type="dxa"/>
            <w:tcBorders/>
            <w:vAlign w:val="bottom"/>
          </w:tcPr>
          <w:p>
            <w:pPr>
              <w:pStyle w:val="TableContents"/>
              <w:bidi w:val="0"/>
              <w:spacing w:before="0" w:after="283"/>
              <w:jc w:val="left"/>
              <w:rPr/>
            </w:pPr>
            <w:r>
              <w:rPr/>
              <w:t> </w:t>
            </w:r>
          </w:p>
        </w:tc>
      </w:tr>
      <w:tr>
        <w:trPr/>
        <w:tc>
          <w:tcPr>
            <w:tcW w:w="420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Operating expenses on a non-GAAP basis</w:t>
            </w:r>
          </w:p>
        </w:tc>
        <w:tc>
          <w:tcPr>
            <w:tcW w:w="1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325</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282</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645</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532</w:t>
            </w:r>
          </w:p>
        </w:tc>
        <w:tc>
          <w:tcPr>
            <w:tcW w:w="135" w:type="dxa"/>
            <w:tcBorders/>
            <w:shd w:fill="CCEEFF" w:val="clear"/>
            <w:vAlign w:val="bottom"/>
          </w:tcPr>
          <w:p>
            <w:pPr>
              <w:pStyle w:val="TableContents"/>
              <w:bidi w:val="0"/>
              <w:spacing w:before="0" w:after="283"/>
              <w:jc w:val="left"/>
              <w:rPr/>
            </w:pPr>
            <w:r>
              <w:rPr/>
              <w:t> </w:t>
            </w:r>
          </w:p>
        </w:tc>
      </w:tr>
      <w:tr>
        <w:trPr/>
        <w:tc>
          <w:tcPr>
            <w:tcW w:w="420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(loss) from operations</w:t>
            </w:r>
          </w:p>
        </w:tc>
        <w:tc>
          <w:tcPr>
            <w:tcW w:w="12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66"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120"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81"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(220</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0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135"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20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(loss) from operations on a non-GAAP basis</w:t>
            </w:r>
          </w:p>
        </w:tc>
        <w:tc>
          <w:tcPr>
            <w:tcW w:w="12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1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170</w:t>
            </w:r>
          </w:p>
        </w:tc>
        <w:tc>
          <w:tcPr>
            <w:tcW w:w="12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(131</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13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8" w:name="z2049bb546b994b0398463d74ee9026a6"/>
      <w:bookmarkStart w:id="9" w:name="z2049bb546b994b0398463d74ee9026a6"/>
      <w:bookmarkEnd w:id="9"/>
    </w:p>
    <w:tbl>
      <w:tblPr>
        <w:tblW w:w="6385" w:type="dxa"/>
        <w:jc w:val="left"/>
        <w:tblInd w:w="0" w:type="dxa"/>
        <w:tblLayout w:type="fixed"/>
        <w:tblCellMar>
          <w:top w:w="0" w:type="dxa"/>
          <w:left w:w="0" w:type="dxa"/>
          <w:bottom w:w="0" w:type="dxa"/>
          <w:right w:w="0" w:type="dxa"/>
        </w:tblCellMar>
      </w:tblPr>
      <w:tblGrid>
        <w:gridCol w:w="75"/>
        <w:gridCol w:w="245"/>
        <w:gridCol w:w="606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60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Reconciliation of GAAP to non-GAAP basis contained later in this release.</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Second Quarter 2026 Financial Highlights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0" w:name="zc08081b8fec449b7ae21f5d86db91535"/>
      <w:bookmarkStart w:id="11" w:name="zc08081b8fec449b7ae21f5d86db91535"/>
      <w:bookmarkEnd w:id="1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Revenue in the second quarter and first half of 2026 increased by 56% and 69% respectively, compared to the same periods last year, excluding the one-time sapablursen upfront payment recognized in the second quarter of 2025, driven by continued commercial success and substantial R&amp;D revenue from multiple partnerships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2" w:name="zc93b0322f9d84665affb50dfe54def5c"/>
      <w:bookmarkStart w:id="13" w:name="zc93b0322f9d84665affb50dfe54def5c"/>
      <w:bookmarkEnd w:id="1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Operating expenses for the second quarter and first half of 2026 were in line with expectations and increased year over year primarily from investments related to the commercialization efforts for TRYNGOLZA and DAWNZERA and launch preparations for zilganersen in Alexander disease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4" w:name="z3aa2955ce04b439a83100517c8ff02f5"/>
      <w:bookmarkStart w:id="15" w:name="z3aa2955ce04b439a83100517c8ff02f5"/>
      <w:bookmarkEnd w:id="1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Ended the second quarter of 2026 with cash and short-term investments of $2.1 billion as of June 30, 2026, enabling continued investments to drive value in Ionis’ wholly owned portfolio</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Second Quarter 2026 Financial Results</w:t>
      </w:r>
    </w:p>
    <w:p>
      <w:pPr>
        <w:pStyle w:val="TextBody"/>
        <w:bidi w:val="0"/>
        <w:spacing w:before="0" w:after="0"/>
        <w:jc w:val="left"/>
        <w:rPr>
          <w:color w:val="000000"/>
        </w:rPr>
      </w:pPr>
      <w:r>
        <w:rPr>
          <w:color w:val="000000"/>
        </w:rPr>
        <w:t> </w:t>
      </w:r>
    </w:p>
    <w:p>
      <w:pPr>
        <w:pStyle w:val="TextBody"/>
        <w:bidi w:val="0"/>
        <w:spacing w:before="0" w:after="0"/>
        <w:jc w:val="both"/>
        <w:rPr>
          <w:color w:val="000000"/>
        </w:rPr>
      </w:pPr>
      <w:r>
        <w:rPr>
          <w:color w:val="000000"/>
        </w:rPr>
        <w:t>“</w:t>
      </w:r>
      <w:r>
        <w:rPr>
          <w:rFonts w:ascii="Times New Roman" w:hAnsi="Times New Roman"/>
          <w:color w:val="000000"/>
          <w:sz w:val="20"/>
        </w:rPr>
        <w:t>Our performance in the first half of this year reflects the strength and resilience of our business. We delivered significantly increased commercial revenue from our independent launches, substantial R&amp;D revenue from multiple partnered medicines and invested in our advancing wholly owned pipeline,” said Elizabeth L. Hougen, chief financial officer of Ionis. “Even with the outcome of the CARDIO-TTRansform study of eplontersen in ATTR-CM, our first-half execution and positive outlook for the second half of the year keep us on track to achieve our 2026 financial guidance. We also remain on track to achieve our goal of cashflow breakeven in 2028 and deliver substantial growth and long-term value-creation.”</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Recent Highlights - Wholly Owned Medicines</w:t>
      </w:r>
    </w:p>
    <w:p>
      <w:pPr>
        <w:pStyle w:val="TextBody"/>
        <w:bidi w:val="0"/>
        <w:spacing w:before="0" w:after="0"/>
        <w:jc w:val="both"/>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6" w:name="z74b9a2c42d8541aa8c04cf2cc6ca8d2d"/>
      <w:bookmarkStart w:id="17" w:name="z74b9a2c42d8541aa8c04cf2cc6ca8d2d"/>
      <w:bookmarkEnd w:id="1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lineRule="auto" w:line="240" w:before="0" w:after="0"/>
              <w:jc w:val="both"/>
              <w:rPr>
                <w:rFonts w:ascii="Times New Roman" w:hAnsi="Times New Roman"/>
                <w:sz w:val="20"/>
              </w:rPr>
            </w:pPr>
            <w:r>
              <w:rPr>
                <w:rFonts w:ascii="Times New Roman" w:hAnsi="Times New Roman"/>
                <w:sz w:val="20"/>
              </w:rPr>
              <w:t>TRYNGOLZA® (olezarsen), the first FDA-approved treatment to reduce triglycerides and acute pancreatitis risk in adults with severe hypertriglyceridemia (sHTG) as an adjunct to diet</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18" w:name="z7d957f0c9bc94b66b26937150cb0f3f7"/>
      <w:bookmarkStart w:id="19" w:name="z7d957f0c9bc94b66b26937150cb0f3f7"/>
      <w:bookmarkEnd w:id="19"/>
    </w:p>
    <w:tbl>
      <w:tblPr>
        <w:tblW w:w="9828" w:type="dxa"/>
        <w:jc w:val="left"/>
        <w:tblInd w:w="0" w:type="dxa"/>
        <w:tblLayout w:type="fixed"/>
        <w:tblCellMar>
          <w:top w:w="0" w:type="dxa"/>
          <w:left w:w="0" w:type="dxa"/>
          <w:bottom w:w="0" w:type="dxa"/>
          <w:right w:w="0" w:type="dxa"/>
        </w:tblCellMar>
      </w:tblPr>
      <w:tblGrid>
        <w:gridCol w:w="38"/>
        <w:gridCol w:w="125"/>
        <w:gridCol w:w="966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966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Generated U.S. net product sales of $5 million and $32 million in the second quarter and first half of 2026, respectively</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0" w:name="z1b42c76c976a423b988be51d2fd3af92"/>
      <w:bookmarkStart w:id="21" w:name="z1b42c76c976a423b988be51d2fd3af92"/>
      <w:bookmarkEnd w:id="21"/>
    </w:p>
    <w:tbl>
      <w:tblPr>
        <w:tblW w:w="8493" w:type="dxa"/>
        <w:jc w:val="left"/>
        <w:tblInd w:w="0" w:type="dxa"/>
        <w:tblLayout w:type="fixed"/>
        <w:tblCellMar>
          <w:top w:w="0" w:type="dxa"/>
          <w:left w:w="0" w:type="dxa"/>
          <w:bottom w:w="0" w:type="dxa"/>
          <w:right w:w="0" w:type="dxa"/>
        </w:tblCellMar>
      </w:tblPr>
      <w:tblGrid>
        <w:gridCol w:w="38"/>
        <w:gridCol w:w="170"/>
        <w:gridCol w:w="8285"/>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82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Demonstrated continued strong demand in FCS, offset by the reduced net price effective April 1,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2" w:name="zac4e368f3c904b2ab9e1920f81a43977"/>
      <w:bookmarkStart w:id="23" w:name="zac4e368f3c904b2ab9e1920f81a43977"/>
      <w:bookmarkEnd w:id="23"/>
    </w:p>
    <w:tbl>
      <w:tblPr>
        <w:tblW w:w="9108" w:type="dxa"/>
        <w:jc w:val="left"/>
        <w:tblInd w:w="0" w:type="dxa"/>
        <w:tblLayout w:type="fixed"/>
        <w:tblCellMar>
          <w:top w:w="0" w:type="dxa"/>
          <w:left w:w="0" w:type="dxa"/>
          <w:bottom w:w="0" w:type="dxa"/>
          <w:right w:w="0" w:type="dxa"/>
        </w:tblCellMar>
      </w:tblPr>
      <w:tblGrid>
        <w:gridCol w:w="38"/>
        <w:gridCol w:w="170"/>
        <w:gridCol w:w="8900"/>
      </w:tblGrid>
      <w:tr>
        <w:trPr/>
        <w:tc>
          <w:tcPr>
            <w:tcW w:w="38"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283"/>
              <w:jc w:val="left"/>
              <w:rPr/>
            </w:pPr>
            <w:r>
              <w:rPr/>
              <w:t>■</w:t>
            </w:r>
          </w:p>
        </w:tc>
        <w:tc>
          <w:tcPr>
            <w:tcW w:w="890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track to achieve full year 2026 product sales of $100-110 million, in line with revenues generated in 2025</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4" w:name="zbf8cd44e9ccb4e8ca67de9b4e4a9cddf"/>
      <w:bookmarkStart w:id="25" w:name="zbf8cd44e9ccb4e8ca67de9b4e4a9cddf"/>
      <w:bookmarkEnd w:id="25"/>
    </w:p>
    <w:tbl>
      <w:tblPr>
        <w:tblW w:w="6753" w:type="dxa"/>
        <w:jc w:val="left"/>
        <w:tblInd w:w="0" w:type="dxa"/>
        <w:tblLayout w:type="fixed"/>
        <w:tblCellMar>
          <w:top w:w="0" w:type="dxa"/>
          <w:left w:w="0" w:type="dxa"/>
          <w:bottom w:w="0" w:type="dxa"/>
          <w:right w:w="0" w:type="dxa"/>
        </w:tblCellMar>
      </w:tblPr>
      <w:tblGrid>
        <w:gridCol w:w="38"/>
        <w:gridCol w:w="125"/>
        <w:gridCol w:w="659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659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sHTG U.S. launch demonstrating early momentum following June 2026 approval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6" w:name="z85c1668139644a6ebfc1a3ec9f598280"/>
      <w:bookmarkStart w:id="27" w:name="z85c1668139644a6ebfc1a3ec9f598280"/>
      <w:bookmarkEnd w:id="2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FCS launch outside the U.S. underway; sHTG marketing application under review in the European Union (EU) with potential launch in 2027</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28" w:name="zfa9daaf3644c49929b804806ed871a82"/>
      <w:bookmarkStart w:id="29" w:name="zfa9daaf3644c49929b804806ed871a82"/>
      <w:bookmarkEnd w:id="29"/>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Results from the CORE and CORE2 open-label extension study (CORE-OLE) will be presented at the European Society of Cardiology (ESC) Congress in August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0" w:name="za62987948b8b4f9a9ffaaae4f3031b42"/>
      <w:bookmarkStart w:id="31" w:name="za62987948b8b4f9a9ffaaae4f3031b42"/>
      <w:bookmarkEnd w:id="3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lineRule="auto" w:line="240" w:before="0" w:after="0"/>
              <w:jc w:val="both"/>
              <w:rPr>
                <w:rFonts w:ascii="Times New Roman" w:hAnsi="Times New Roman"/>
                <w:sz w:val="20"/>
              </w:rPr>
            </w:pPr>
            <w:r>
              <w:rPr>
                <w:rFonts w:ascii="Times New Roman" w:hAnsi="Times New Roman"/>
                <w:sz w:val="20"/>
              </w:rPr>
              <w:t>DAWNZERA® (donidalorsen), the first and only RNA-targeted prophylactic therapy for hereditary angioedema (HAE) in patients 12 years of age and older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2" w:name="z23f44366ceac4dc3b5f8d4447cebe9e5"/>
      <w:bookmarkStart w:id="33" w:name="z23f44366ceac4dc3b5f8d4447cebe9e5"/>
      <w:bookmarkEnd w:id="33"/>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Generated U.S. net product sales of $26 million and $42 million in the second quarter and first half of 2026, respectively; second quarter net product sales increased 63% compared to the first quarter of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4" w:name="z0b8f491bf3664103a1ac7f27fcfeb434"/>
      <w:bookmarkStart w:id="35" w:name="z0b8f491bf3664103a1ac7f27fcfeb434"/>
      <w:bookmarkEnd w:id="3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On track to achieve full year 2026 product sales of $110-120 million, representing a continuing driver of year-over-year revenue growth</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36" w:name="z4901ea8aeab048ae84870d53d504cf73"/>
      <w:bookmarkStart w:id="37" w:name="z4901ea8aeab048ae84870d53d504cf73"/>
      <w:bookmarkEnd w:id="37"/>
    </w:p>
    <w:tbl>
      <w:tblPr>
        <w:tblW w:w="6048" w:type="dxa"/>
        <w:jc w:val="left"/>
        <w:tblInd w:w="0" w:type="dxa"/>
        <w:tblLayout w:type="fixed"/>
        <w:tblCellMar>
          <w:top w:w="0" w:type="dxa"/>
          <w:left w:w="0" w:type="dxa"/>
          <w:bottom w:w="0" w:type="dxa"/>
          <w:right w:w="0" w:type="dxa"/>
        </w:tblCellMar>
      </w:tblPr>
      <w:tblGrid>
        <w:gridCol w:w="38"/>
        <w:gridCol w:w="125"/>
        <w:gridCol w:w="588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58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Launch outside the U.S. underway, with new market approvals in the EU</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2</w:t>
      </w:r>
    </w:p>
    <w:p>
      <w:pPr>
        <w:pStyle w:val="HorizontalLine"/>
        <w:pBdr>
          <w:bottom w:val="single" w:sz="12" w:space="0" w:color="808080"/>
        </w:pBdr>
        <w:bidi w:val="0"/>
        <w:spacing w:before="200" w:after="200"/>
        <w:jc w:val="left"/>
        <w:rPr/>
      </w:pPr>
      <w:r>
        <w:rPr/>
      </w:r>
    </w:p>
    <w:p>
      <w:pPr>
        <w:pStyle w:val="Normal"/>
        <w:bidi w:val="0"/>
        <w:spacing w:before="0" w:after="0"/>
        <w:jc w:val="left"/>
        <w:rPr>
          <w:sz w:val="4"/>
          <w:szCs w:val="4"/>
        </w:rPr>
      </w:pPr>
      <w:r>
        <w:rPr>
          <w:sz w:val="4"/>
          <w:szCs w:val="4"/>
        </w:rPr>
      </w:r>
      <w:bookmarkStart w:id="38" w:name="z48a281767a9c4961b49b955b253f905f"/>
      <w:bookmarkStart w:id="39" w:name="z48a281767a9c4961b49b955b253f905f"/>
      <w:bookmarkEnd w:id="3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Zilganersen on track to launch this year as the first and only medicine to demonstrate clinically meaningful and disease-modifying benefit in children and adults with Alexander disease (AxD), assuming approval</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0" w:name="z4993b88a76c94633ac129e5a6168b19f"/>
      <w:bookmarkStart w:id="41" w:name="z4993b88a76c94633ac129e5a6168b19f"/>
      <w:bookmarkEnd w:id="41"/>
    </w:p>
    <w:tbl>
      <w:tblPr>
        <w:tblW w:w="9243" w:type="dxa"/>
        <w:jc w:val="left"/>
        <w:tblInd w:w="0" w:type="dxa"/>
        <w:tblLayout w:type="fixed"/>
        <w:tblCellMar>
          <w:top w:w="0" w:type="dxa"/>
          <w:left w:w="0" w:type="dxa"/>
          <w:bottom w:w="0" w:type="dxa"/>
          <w:right w:w="0" w:type="dxa"/>
        </w:tblCellMar>
      </w:tblPr>
      <w:tblGrid>
        <w:gridCol w:w="38"/>
        <w:gridCol w:w="125"/>
        <w:gridCol w:w="908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9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New Drug Application (NDA) under FDA Priority Review with PDUFA target action date of September 22,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2" w:name="z0f2bd75143a64dc980941e8c7aea177b"/>
      <w:bookmarkStart w:id="43" w:name="z0f2bd75143a64dc980941e8c7aea177b"/>
      <w:bookmarkEnd w:id="43"/>
    </w:p>
    <w:tbl>
      <w:tblPr>
        <w:tblW w:w="8493" w:type="dxa"/>
        <w:jc w:val="left"/>
        <w:tblInd w:w="0" w:type="dxa"/>
        <w:tblLayout w:type="fixed"/>
        <w:tblCellMar>
          <w:top w:w="0" w:type="dxa"/>
          <w:left w:w="0" w:type="dxa"/>
          <w:bottom w:w="0" w:type="dxa"/>
          <w:right w:w="0" w:type="dxa"/>
        </w:tblCellMar>
      </w:tblPr>
      <w:tblGrid>
        <w:gridCol w:w="38"/>
        <w:gridCol w:w="125"/>
        <w:gridCol w:w="833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83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Entered a license agreement with Recordati to develop and commercialize zilganersen outside the U.S.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4" w:name="z975309b6919849f6841d22efeed5fe16"/>
      <w:bookmarkStart w:id="45" w:name="z975309b6919849f6841d22efeed5fe16"/>
      <w:bookmarkEnd w:id="45"/>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Obudanersen, a potential treatment for Angelman syndrome, completed enrollment in the Phase 3 REVEAL study, with data anticipated in the second half of 2027</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6" w:name="z02e26ec1a7ce47fca35eb664364f37ff"/>
      <w:bookmarkStart w:id="47" w:name="z02e26ec1a7ce47fca35eb664364f37ff"/>
      <w:bookmarkEnd w:id="47"/>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ION775, a potential treatment for sHTG, entered a Phase 2 study in people with sHTG and moderately elevated triglycerides (HTG) based on Phase 1 results showing robust triglyceride lowering with potential for extended dosing intervals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48" w:name="zbd8832feba674bbba812c8c02c817883"/>
      <w:bookmarkStart w:id="49" w:name="zbd8832feba674bbba812c8c02c817883"/>
      <w:bookmarkEnd w:id="49"/>
    </w:p>
    <w:tbl>
      <w:tblPr>
        <w:tblW w:w="6903" w:type="dxa"/>
        <w:jc w:val="left"/>
        <w:tblInd w:w="0" w:type="dxa"/>
        <w:tblLayout w:type="fixed"/>
        <w:tblCellMar>
          <w:top w:w="0" w:type="dxa"/>
          <w:left w:w="0" w:type="dxa"/>
          <w:bottom w:w="0" w:type="dxa"/>
          <w:right w:w="0" w:type="dxa"/>
        </w:tblCellMar>
      </w:tblPr>
      <w:tblGrid>
        <w:gridCol w:w="38"/>
        <w:gridCol w:w="125"/>
        <w:gridCol w:w="674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674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Results from the Phase 1 study of ION775 will be presented at ESC in August 2026</w:t>
            </w:r>
          </w:p>
        </w:tc>
      </w:tr>
    </w:tbl>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Recent Highlights – Partnered Medicines</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0" w:name="ze959839c79b947a3a45b6bcbfd89ef12"/>
      <w:bookmarkStart w:id="51" w:name="ze959839c79b947a3a45b6bcbfd89ef12"/>
      <w:bookmarkEnd w:id="51"/>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lineRule="auto" w:line="240" w:before="0" w:after="0"/>
              <w:jc w:val="both"/>
              <w:rPr>
                <w:rFonts w:ascii="Times New Roman" w:hAnsi="Times New Roman"/>
                <w:sz w:val="20"/>
              </w:rPr>
            </w:pPr>
            <w:r>
              <w:rPr>
                <w:rFonts w:ascii="Times New Roman" w:hAnsi="Times New Roman"/>
                <w:sz w:val="20"/>
              </w:rPr>
              <w:t>SPINRAZA® (nusinersen) for the treatment of spinal muscular atrophy (SMA) generated global sales of $402 million in the second quarter of 2026, resulting in royalty revenue of $54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2" w:name="z8ab73b2e77aa41c0b9a076cc946467f8"/>
      <w:bookmarkStart w:id="53" w:name="z8ab73b2e77aa41c0b9a076cc946467f8"/>
      <w:bookmarkEnd w:id="5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lineRule="auto" w:line="240" w:before="0" w:after="0"/>
              <w:jc w:val="both"/>
              <w:rPr>
                <w:rFonts w:ascii="Times New Roman" w:hAnsi="Times New Roman"/>
                <w:sz w:val="20"/>
              </w:rPr>
            </w:pPr>
            <w:r>
              <w:rPr>
                <w:rFonts w:ascii="Times New Roman" w:hAnsi="Times New Roman"/>
                <w:sz w:val="20"/>
              </w:rPr>
              <w:t>WAINUA® (eplontersen) (WAINZUA in EU) for the treatment of adults with polyneuropathy of hereditary transthyretin-mediated amyloidosis (ATTRv-PN) generated global sales of $70 million in the second quarter of 2026, resulting in royalty revenue of $16 million</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4" w:name="z81d8cbc3aadb4ded9fc1f39ab05a70bc"/>
      <w:bookmarkStart w:id="55" w:name="z81d8cbc3aadb4ded9fc1f39ab05a70bc"/>
      <w:bookmarkEnd w:id="55"/>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Global WAINUA ATTRv-PN launches continuing with additional submissions in progress to further expand global WAINUA access</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6" w:name="zdb0eb639860d4500955a146f0a93dc96"/>
      <w:bookmarkStart w:id="57" w:name="zdb0eb639860d4500955a146f0a93dc96"/>
      <w:bookmarkEnd w:id="5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Phase 3 CARDIO-TTRansform study of eplontersen for the treatment of transthyretin-mediated amyloid cardiomyopathy (ATTR-CM) missed the primary composite endpoint in the overall population, demonstrated nominal significance in the pre-specified monotherapy population, and a favorable safety and tolerability profile</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58" w:name="z5c6b47e32867491a9b18dbac4acf8ca7"/>
      <w:bookmarkStart w:id="59" w:name="z5c6b47e32867491a9b18dbac4acf8ca7"/>
      <w:bookmarkEnd w:id="59"/>
    </w:p>
    <w:tbl>
      <w:tblPr>
        <w:tblW w:w="8298" w:type="dxa"/>
        <w:jc w:val="left"/>
        <w:tblInd w:w="0" w:type="dxa"/>
        <w:tblLayout w:type="fixed"/>
        <w:tblCellMar>
          <w:top w:w="0" w:type="dxa"/>
          <w:left w:w="0" w:type="dxa"/>
          <w:bottom w:w="0" w:type="dxa"/>
          <w:right w:w="0" w:type="dxa"/>
        </w:tblCellMar>
      </w:tblPr>
      <w:tblGrid>
        <w:gridCol w:w="38"/>
        <w:gridCol w:w="125"/>
        <w:gridCol w:w="8135"/>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813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Results from the CARDIO-TTRansform study will be presented at the ESC Congress in August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0" w:name="z15b5217ca0f84f0ead587ecdb692c542"/>
      <w:bookmarkStart w:id="61" w:name="z15b5217ca0f84f0ead587ecdb692c542"/>
      <w:bookmarkEnd w:id="61"/>
    </w:p>
    <w:tbl>
      <w:tblPr>
        <w:tblW w:w="9310" w:type="dxa"/>
        <w:jc w:val="left"/>
        <w:tblInd w:w="0" w:type="dxa"/>
        <w:tblLayout w:type="fixed"/>
        <w:tblCellMar>
          <w:top w:w="0" w:type="dxa"/>
          <w:left w:w="0" w:type="dxa"/>
          <w:bottom w:w="0" w:type="dxa"/>
          <w:right w:w="0" w:type="dxa"/>
        </w:tblCellMar>
      </w:tblPr>
      <w:tblGrid>
        <w:gridCol w:w="125"/>
        <w:gridCol w:w="9185"/>
      </w:tblGrid>
      <w:tr>
        <w:trPr/>
        <w:tc>
          <w:tcPr>
            <w:tcW w:w="125" w:type="dxa"/>
            <w:tcBorders/>
            <w:vAlign w:val="center"/>
          </w:tcPr>
          <w:p>
            <w:pPr>
              <w:pStyle w:val="TableContents"/>
              <w:bidi w:val="0"/>
              <w:spacing w:before="0" w:after="283"/>
              <w:jc w:val="left"/>
              <w:rPr/>
            </w:pPr>
            <w:r>
              <w:rPr/>
              <w:t>•</w:t>
            </w:r>
          </w:p>
        </w:tc>
        <w:tc>
          <w:tcPr>
            <w:tcW w:w="918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Bepirovirsen, a potential first-in-class treatment of chronic hepatitis B (CHB), on track for global launch this year</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2" w:name="za17bd4734d3948a08ea4027f09e397bf"/>
      <w:bookmarkStart w:id="63" w:name="za17bd4734d3948a08ea4027f09e397bf"/>
      <w:bookmarkEnd w:id="63"/>
    </w:p>
    <w:tbl>
      <w:tblPr>
        <w:tblW w:w="7293" w:type="dxa"/>
        <w:jc w:val="left"/>
        <w:tblInd w:w="0" w:type="dxa"/>
        <w:tblLayout w:type="fixed"/>
        <w:tblCellMar>
          <w:top w:w="0" w:type="dxa"/>
          <w:left w:w="0" w:type="dxa"/>
          <w:bottom w:w="0" w:type="dxa"/>
          <w:right w:w="0" w:type="dxa"/>
        </w:tblCellMar>
      </w:tblPr>
      <w:tblGrid>
        <w:gridCol w:w="38"/>
        <w:gridCol w:w="125"/>
        <w:gridCol w:w="713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713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Under regulatory review in multiple countries, including the U.S., EU, Japan, and China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4" w:name="z3257503dd69e4052aea4a6870b88e710"/>
      <w:bookmarkStart w:id="65" w:name="z3257503dd69e4052aea4a6870b88e710"/>
      <w:bookmarkEnd w:id="65"/>
    </w:p>
    <w:tbl>
      <w:tblPr>
        <w:tblW w:w="7173" w:type="dxa"/>
        <w:jc w:val="left"/>
        <w:tblInd w:w="0" w:type="dxa"/>
        <w:tblLayout w:type="fixed"/>
        <w:tblCellMar>
          <w:top w:w="0" w:type="dxa"/>
          <w:left w:w="0" w:type="dxa"/>
          <w:bottom w:w="0" w:type="dxa"/>
          <w:right w:w="0" w:type="dxa"/>
        </w:tblCellMar>
      </w:tblPr>
      <w:tblGrid>
        <w:gridCol w:w="38"/>
        <w:gridCol w:w="125"/>
        <w:gridCol w:w="7010"/>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701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Granted Priority Review in the U.S. and PDUFA target action date of October 26,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6" w:name="z2f97fb5297824b67b3b00754e9d6424e"/>
      <w:bookmarkStart w:id="67" w:name="z2f97fb5297824b67b3b00754e9d6424e"/>
      <w:bookmarkEnd w:id="67"/>
    </w:p>
    <w:tbl>
      <w:tblPr>
        <w:tblW w:w="10205" w:type="dxa"/>
        <w:jc w:val="left"/>
        <w:tblInd w:w="0" w:type="dxa"/>
        <w:tblLayout w:type="fixed"/>
        <w:tblCellMar>
          <w:top w:w="0" w:type="dxa"/>
          <w:left w:w="0" w:type="dxa"/>
          <w:bottom w:w="0" w:type="dxa"/>
          <w:right w:w="0" w:type="dxa"/>
        </w:tblCellMar>
      </w:tblPr>
      <w:tblGrid>
        <w:gridCol w:w="38"/>
        <w:gridCol w:w="125"/>
        <w:gridCol w:w="10042"/>
      </w:tblGrid>
      <w:tr>
        <w:trPr/>
        <w:tc>
          <w:tcPr>
            <w:tcW w:w="38"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o</w:t>
            </w:r>
          </w:p>
        </w:tc>
        <w:tc>
          <w:tcPr>
            <w:tcW w:w="10042"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Positive data from the Phase 3 B-Well studies showing unprecedented functional cure rates presented at the European Association for the Study of the Liver (EASL) Congress 2026</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68" w:name="zde30858d62314c5a81151a53b14d1573"/>
      <w:bookmarkStart w:id="69" w:name="zde30858d62314c5a81151a53b14d1573"/>
      <w:bookmarkEnd w:id="69"/>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Salanersen, a potential treatment for SMA, entered Phase 3 development and granted Breakthrough Therapy Designation by the FDA, based on positive interim Phase 1 results demonstrating potential to achieve high efficacy with annual dosing</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0" w:name="z513fc631174142d68846beb9a19b820a"/>
      <w:bookmarkStart w:id="71" w:name="z513fc631174142d68846beb9a19b820a"/>
      <w:bookmarkEnd w:id="71"/>
    </w:p>
    <w:tbl>
      <w:tblPr>
        <w:tblW w:w="9730" w:type="dxa"/>
        <w:jc w:val="left"/>
        <w:tblInd w:w="0" w:type="dxa"/>
        <w:tblLayout w:type="fixed"/>
        <w:tblCellMar>
          <w:top w:w="0" w:type="dxa"/>
          <w:left w:w="0" w:type="dxa"/>
          <w:bottom w:w="0" w:type="dxa"/>
          <w:right w:w="0" w:type="dxa"/>
        </w:tblCellMar>
      </w:tblPr>
      <w:tblGrid>
        <w:gridCol w:w="125"/>
        <w:gridCol w:w="9605"/>
      </w:tblGrid>
      <w:tr>
        <w:trPr/>
        <w:tc>
          <w:tcPr>
            <w:tcW w:w="125" w:type="dxa"/>
            <w:tcBorders/>
            <w:vAlign w:val="center"/>
          </w:tcPr>
          <w:p>
            <w:pPr>
              <w:pStyle w:val="TableContents"/>
              <w:bidi w:val="0"/>
              <w:spacing w:before="0" w:after="283"/>
              <w:jc w:val="left"/>
              <w:rPr/>
            </w:pPr>
            <w:r>
              <w:rPr/>
              <w:t>•</w:t>
            </w:r>
          </w:p>
        </w:tc>
        <w:tc>
          <w:tcPr>
            <w:tcW w:w="96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Sapablursen, a potential treatment for polycythemia vera, entered Phase 3 development based on positive Phase 2 data</w:t>
            </w:r>
          </w:p>
        </w:tc>
      </w:tr>
    </w:tbl>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72" w:name="zad34184003df456bb08bbbafc43681df"/>
      <w:bookmarkStart w:id="73" w:name="zad34184003df456bb08bbbafc43681df"/>
      <w:bookmarkEnd w:id="73"/>
    </w:p>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283"/>
              <w:jc w:val="left"/>
              <w:rPr/>
            </w:pPr>
            <w:r>
              <w:rPr/>
              <w:t>•</w:t>
            </w:r>
          </w:p>
        </w:tc>
        <w:tc>
          <w:tcPr>
            <w:tcW w:w="10080" w:type="dxa"/>
            <w:tcBorders/>
            <w:vAlign w:val="center"/>
          </w:tcPr>
          <w:p>
            <w:pPr>
              <w:pStyle w:val="TableContents"/>
              <w:bidi w:val="0"/>
              <w:spacing w:lineRule="auto" w:line="240" w:before="0" w:after="0"/>
              <w:jc w:val="both"/>
              <w:rPr>
                <w:rFonts w:ascii="Times New Roman" w:hAnsi="Times New Roman"/>
                <w:sz w:val="20"/>
              </w:rPr>
            </w:pPr>
            <w:r>
              <w:rPr>
                <w:rFonts w:ascii="Times New Roman" w:hAnsi="Times New Roman"/>
                <w:sz w:val="20"/>
              </w:rPr>
              <w:t>Diranersen (IONIS-MAPTRx / BIIB080), a potential treatment for Alzheimer’s disease, demonstrated benefit in measures of cognition with favorable safety and tolerability in the Phase 2 CELIA study; Biogen plans to advance diranersen into Phase 3 development</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3</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Revenue</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Ionis’ revenue was comprised of the following:</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74" w:name="z0b251c41cbf74976a1f8e229fd2f8301"/>
      <w:bookmarkStart w:id="75" w:name="z0b251c41cbf74976a1f8e229fd2f8301"/>
      <w:bookmarkEnd w:id="75"/>
    </w:p>
    <w:tbl>
      <w:tblPr>
        <w:tblW w:w="6880" w:type="dxa"/>
        <w:jc w:val="left"/>
        <w:tblInd w:w="0" w:type="dxa"/>
        <w:tblLayout w:type="fixed"/>
        <w:tblCellMar>
          <w:top w:w="0" w:type="dxa"/>
          <w:left w:w="0" w:type="dxa"/>
          <w:bottom w:w="0" w:type="dxa"/>
          <w:right w:w="0" w:type="dxa"/>
        </w:tblCellMar>
      </w:tblPr>
      <w:tblGrid>
        <w:gridCol w:w="3485"/>
        <w:gridCol w:w="60"/>
        <w:gridCol w:w="200"/>
        <w:gridCol w:w="537"/>
        <w:gridCol w:w="96"/>
        <w:gridCol w:w="96"/>
        <w:gridCol w:w="200"/>
        <w:gridCol w:w="537"/>
        <w:gridCol w:w="60"/>
        <w:gridCol w:w="60"/>
        <w:gridCol w:w="177"/>
        <w:gridCol w:w="475"/>
        <w:gridCol w:w="85"/>
        <w:gridCol w:w="85"/>
        <w:gridCol w:w="177"/>
        <w:gridCol w:w="475"/>
        <w:gridCol w:w="75"/>
      </w:tblGrid>
      <w:tr>
        <w:trPr/>
        <w:tc>
          <w:tcPr>
            <w:tcW w:w="34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6"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Three months ended</w:t>
            </w:r>
          </w:p>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4"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Six months ended</w:t>
            </w:r>
          </w:p>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75"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96" w:type="dxa"/>
            <w:tcBorders>
              <w:bottom w:val="single" w:sz="12" w:space="0" w:color="000000"/>
            </w:tcBorders>
            <w:tcMar>
              <w:bottom w:w="28" w:type="dxa"/>
            </w:tcMar>
            <w:vAlign w:val="bottom"/>
          </w:tcPr>
          <w:p>
            <w:pPr>
              <w:pStyle w:val="TableContents"/>
              <w:bidi w:val="0"/>
              <w:spacing w:before="0" w:after="283"/>
              <w:jc w:val="left"/>
              <w:rPr/>
            </w:pPr>
            <w:r>
              <w:rPr/>
              <w:t> </w:t>
            </w:r>
          </w:p>
        </w:tc>
        <w:tc>
          <w:tcPr>
            <w:tcW w:w="96" w:type="dxa"/>
            <w:tcBorders>
              <w:bottom w:val="single" w:sz="12" w:space="0" w:color="000000"/>
            </w:tcBorders>
            <w:tcMar>
              <w:bottom w:w="28" w:type="dxa"/>
            </w:tcMar>
            <w:vAlign w:val="bottom"/>
          </w:tcPr>
          <w:p>
            <w:pPr>
              <w:pStyle w:val="TableContents"/>
              <w:bidi w:val="0"/>
              <w:spacing w:before="0" w:after="283"/>
              <w:jc w:val="left"/>
              <w:rPr/>
            </w:pPr>
            <w:r>
              <w:rPr/>
              <w:t> </w:t>
            </w:r>
          </w:p>
        </w:tc>
        <w:tc>
          <w:tcPr>
            <w:tcW w:w="737"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5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85" w:type="dxa"/>
            <w:tcBorders>
              <w:bottom w:val="single" w:sz="12" w:space="0" w:color="000000"/>
            </w:tcBorders>
            <w:tcMar>
              <w:bottom w:w="28" w:type="dxa"/>
            </w:tcMar>
            <w:vAlign w:val="bottom"/>
          </w:tcPr>
          <w:p>
            <w:pPr>
              <w:pStyle w:val="TableContents"/>
              <w:bidi w:val="0"/>
              <w:spacing w:before="0" w:after="283"/>
              <w:jc w:val="left"/>
              <w:rPr/>
            </w:pPr>
            <w:r>
              <w:rPr/>
              <w:t> </w:t>
            </w:r>
          </w:p>
        </w:tc>
        <w:tc>
          <w:tcPr>
            <w:tcW w:w="85" w:type="dxa"/>
            <w:tcBorders>
              <w:bottom w:val="single" w:sz="12" w:space="0" w:color="000000"/>
            </w:tcBorders>
            <w:tcMar>
              <w:bottom w:w="28" w:type="dxa"/>
            </w:tcMar>
            <w:vAlign w:val="bottom"/>
          </w:tcPr>
          <w:p>
            <w:pPr>
              <w:pStyle w:val="TableContents"/>
              <w:bidi w:val="0"/>
              <w:spacing w:before="0" w:after="283"/>
              <w:jc w:val="left"/>
              <w:rPr/>
            </w:pPr>
            <w:r>
              <w:rPr/>
              <w:t> </w:t>
            </w:r>
          </w:p>
        </w:tc>
        <w:tc>
          <w:tcPr>
            <w:tcW w:w="652"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75"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Revenue:</w:t>
            </w:r>
          </w:p>
        </w:tc>
        <w:tc>
          <w:tcPr>
            <w:tcW w:w="60" w:type="dxa"/>
            <w:tcBorders/>
            <w:vAlign w:val="bottom"/>
          </w:tcPr>
          <w:p>
            <w:pPr>
              <w:pStyle w:val="TableContents"/>
              <w:bidi w:val="0"/>
              <w:spacing w:before="0" w:after="283"/>
              <w:jc w:val="left"/>
              <w:rPr/>
            </w:pPr>
            <w:r>
              <w:rPr/>
              <w:t> </w:t>
            </w:r>
          </w:p>
        </w:tc>
        <w:tc>
          <w:tcPr>
            <w:tcW w:w="3260" w:type="dxa"/>
            <w:gridSpan w:val="14"/>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(amounts in millions)</w:t>
            </w:r>
          </w:p>
        </w:tc>
        <w:tc>
          <w:tcPr>
            <w:tcW w:w="75"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Commercial revenue:</w:t>
            </w:r>
          </w:p>
        </w:tc>
        <w:tc>
          <w:tcPr>
            <w:tcW w:w="60"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gridSpan w:val="2"/>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5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Product sales, net:</w:t>
            </w:r>
          </w:p>
        </w:tc>
        <w:tc>
          <w:tcPr>
            <w:tcW w:w="60"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73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52" w:type="dxa"/>
            <w:gridSpan w:val="2"/>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652" w:type="dxa"/>
            <w:gridSpan w:val="2"/>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TRYNGOLZA sales, net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32</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DAWNZERA sales, net</w:t>
            </w:r>
          </w:p>
        </w:tc>
        <w:tc>
          <w:tcPr>
            <w:tcW w:w="6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42</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864" w:right="0" w:hanging="144"/>
              <w:jc w:val="left"/>
              <w:rPr>
                <w:rFonts w:ascii="Times New Roman" w:hAnsi="Times New Roman"/>
                <w:sz w:val="20"/>
              </w:rPr>
            </w:pPr>
            <w:r>
              <w:rPr>
                <w:rFonts w:ascii="Times New Roman" w:hAnsi="Times New Roman"/>
                <w:sz w:val="20"/>
              </w:rPr>
              <w:t>Total product sales, net</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Royalty revenue:</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 </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right"/>
              <w:rPr/>
            </w:pPr>
            <w:r>
              <w:rPr/>
              <w:t> </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283"/>
              <w:jc w:val="right"/>
              <w:rPr/>
            </w:pPr>
            <w:r>
              <w:rPr/>
              <w:t> </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SPINRAZA royalties</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53</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97</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WAINUA royalties</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Other royalties</w:t>
            </w:r>
          </w:p>
        </w:tc>
        <w:tc>
          <w:tcPr>
            <w:tcW w:w="6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864" w:right="0" w:hanging="144"/>
              <w:jc w:val="left"/>
              <w:rPr>
                <w:rFonts w:ascii="Times New Roman" w:hAnsi="Times New Roman"/>
                <w:sz w:val="20"/>
              </w:rPr>
            </w:pPr>
            <w:r>
              <w:rPr>
                <w:rFonts w:ascii="Times New Roman" w:hAnsi="Times New Roman"/>
                <w:sz w:val="20"/>
              </w:rPr>
              <w:t>Total royalty revenue</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commercial revenue</w:t>
            </w:r>
          </w:p>
        </w:tc>
        <w:tc>
          <w:tcPr>
            <w:tcW w:w="6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864" w:right="0" w:hanging="144"/>
              <w:jc w:val="left"/>
              <w:rPr>
                <w:rFonts w:ascii="Times New Roman" w:hAnsi="Times New Roman"/>
                <w:b/>
                <w:sz w:val="20"/>
              </w:rPr>
            </w:pPr>
            <w:r>
              <w:rPr>
                <w:rFonts w:ascii="Times New Roman" w:hAnsi="Times New Roman"/>
                <w:b/>
                <w:sz w:val="20"/>
              </w:rPr>
              <w:t>Total commercial revenue</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119</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226</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0"/>
              <w:jc w:val="right"/>
              <w:rPr>
                <w:rFonts w:ascii="Times New Roman" w:hAnsi="Times New Roman"/>
                <w:b/>
                <w:sz w:val="20"/>
              </w:rPr>
            </w:pPr>
            <w:r>
              <w:rPr>
                <w:rFonts w:ascii="Times New Roman" w:hAnsi="Times New Roman"/>
                <w:b/>
                <w:sz w:val="20"/>
              </w:rPr>
              <w:t>179</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Research and development revenue:</w:t>
            </w:r>
          </w:p>
        </w:tc>
        <w:tc>
          <w:tcPr>
            <w:tcW w:w="60"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 </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0" w:type="dxa"/>
            <w:tcBorders/>
            <w:shd w:fill="CCEEFF" w:val="clear"/>
            <w:vAlign w:val="bottom"/>
          </w:tcPr>
          <w:p>
            <w:pPr>
              <w:pStyle w:val="TableContents"/>
              <w:bidi w:val="0"/>
              <w:spacing w:before="0" w:after="283"/>
              <w:jc w:val="left"/>
              <w:rPr/>
            </w:pPr>
            <w:r>
              <w:rPr/>
              <w:t> </w:t>
            </w:r>
          </w:p>
        </w:tc>
        <w:tc>
          <w:tcPr>
            <w:tcW w:w="53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right"/>
              <w:rPr/>
            </w:pPr>
            <w:r>
              <w:rPr/>
              <w:t> </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475" w:type="dxa"/>
            <w:tcBorders/>
            <w:shd w:fill="CCEEFF" w:val="clear"/>
            <w:vAlign w:val="bottom"/>
          </w:tcPr>
          <w:p>
            <w:pPr>
              <w:pStyle w:val="TableContents"/>
              <w:bidi w:val="0"/>
              <w:spacing w:before="0" w:after="283"/>
              <w:jc w:val="right"/>
              <w:rPr/>
            </w:pPr>
            <w:r>
              <w:rPr/>
              <w:t> </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Collaborative agreement revenue</w:t>
            </w:r>
          </w:p>
        </w:tc>
        <w:tc>
          <w:tcPr>
            <w:tcW w:w="60"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53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337</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47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382</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WAINUA joint development revenue</w:t>
            </w:r>
          </w:p>
        </w:tc>
        <w:tc>
          <w:tcPr>
            <w:tcW w:w="6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75" w:type="dxa"/>
            <w:tcBorders/>
            <w:shd w:fill="CCEEFF" w:val="clear"/>
            <w:vAlign w:val="bottom"/>
          </w:tcPr>
          <w:p>
            <w:pPr>
              <w:pStyle w:val="TableContents"/>
              <w:bidi w:val="0"/>
              <w:spacing w:before="0" w:after="283"/>
              <w:jc w:val="left"/>
              <w:rPr/>
            </w:pPr>
            <w:r>
              <w:rPr/>
              <w:t> </w:t>
            </w:r>
          </w:p>
        </w:tc>
      </w:tr>
      <w:tr>
        <w:trPr/>
        <w:tc>
          <w:tcPr>
            <w:tcW w:w="3485" w:type="dxa"/>
            <w:tcBorders/>
            <w:vAlign w:val="bottom"/>
          </w:tcPr>
          <w:p>
            <w:pPr>
              <w:pStyle w:val="TableContents"/>
              <w:bidi w:val="0"/>
              <w:spacing w:before="0" w:after="0"/>
              <w:ind w:left="1044" w:right="0" w:hanging="144"/>
              <w:jc w:val="left"/>
              <w:rPr>
                <w:rFonts w:ascii="Times New Roman" w:hAnsi="Times New Roman"/>
                <w:b/>
                <w:sz w:val="20"/>
              </w:rPr>
            </w:pPr>
            <w:r>
              <w:rPr>
                <w:rFonts w:ascii="Times New Roman" w:hAnsi="Times New Roman"/>
                <w:b/>
                <w:sz w:val="20"/>
              </w:rPr>
              <w:t>Total research and development revenue</w:t>
            </w:r>
          </w:p>
        </w:tc>
        <w:tc>
          <w:tcPr>
            <w:tcW w:w="60"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149</w:t>
            </w:r>
          </w:p>
        </w:tc>
        <w:tc>
          <w:tcPr>
            <w:tcW w:w="9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200" w:type="dxa"/>
            <w:tcBorders>
              <w:bottom w:val="single" w:sz="12" w:space="0" w:color="000000"/>
            </w:tcBorders>
            <w:tcMar>
              <w:bottom w:w="28" w:type="dxa"/>
            </w:tcMar>
            <w:vAlign w:val="bottom"/>
          </w:tcPr>
          <w:p>
            <w:pPr>
              <w:pStyle w:val="TableContents"/>
              <w:bidi w:val="0"/>
              <w:spacing w:before="0" w:after="283"/>
              <w:jc w:val="left"/>
              <w:rPr/>
            </w:pPr>
            <w:r>
              <w:rPr/>
              <w:t> </w:t>
            </w:r>
          </w:p>
        </w:tc>
        <w:tc>
          <w:tcPr>
            <w:tcW w:w="53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349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288</w:t>
            </w:r>
          </w:p>
        </w:tc>
        <w:tc>
          <w:tcPr>
            <w:tcW w:w="85"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77" w:type="dxa"/>
            <w:tcBorders>
              <w:bottom w:val="single" w:sz="12" w:space="0" w:color="000000"/>
            </w:tcBorders>
            <w:tcMar>
              <w:bottom w:w="28" w:type="dxa"/>
            </w:tcMar>
            <w:vAlign w:val="bottom"/>
          </w:tcPr>
          <w:p>
            <w:pPr>
              <w:pStyle w:val="TableContents"/>
              <w:bidi w:val="0"/>
              <w:spacing w:before="0" w:after="283"/>
              <w:jc w:val="left"/>
              <w:rPr/>
            </w:pPr>
            <w:r>
              <w:rPr/>
              <w:t> </w:t>
            </w:r>
          </w:p>
        </w:tc>
        <w:tc>
          <w:tcPr>
            <w:tcW w:w="47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405</w:t>
            </w:r>
          </w:p>
        </w:tc>
        <w:tc>
          <w:tcPr>
            <w:tcW w:w="75" w:type="dxa"/>
            <w:tcBorders/>
            <w:vAlign w:val="bottom"/>
          </w:tcPr>
          <w:p>
            <w:pPr>
              <w:pStyle w:val="TableContents"/>
              <w:bidi w:val="0"/>
              <w:spacing w:before="0" w:after="283"/>
              <w:jc w:val="left"/>
              <w:rPr/>
            </w:pPr>
            <w:r>
              <w:rPr/>
              <w:t> </w:t>
            </w:r>
          </w:p>
        </w:tc>
      </w:tr>
      <w:tr>
        <w:trPr/>
        <w:tc>
          <w:tcPr>
            <w:tcW w:w="3485" w:type="dxa"/>
            <w:tcBorders/>
            <w:shd w:fill="CCEEFF" w:val="clear"/>
            <w:vAlign w:val="bottom"/>
          </w:tcPr>
          <w:p>
            <w:pPr>
              <w:pStyle w:val="TableContents"/>
              <w:bidi w:val="0"/>
              <w:spacing w:before="0" w:after="0"/>
              <w:ind w:left="1224" w:right="0" w:hanging="144"/>
              <w:jc w:val="left"/>
              <w:rPr>
                <w:rFonts w:ascii="Times New Roman" w:hAnsi="Times New Roman"/>
                <w:b/>
                <w:sz w:val="20"/>
              </w:rPr>
            </w:pPr>
            <w:r>
              <w:rPr>
                <w:rFonts w:ascii="Times New Roman" w:hAnsi="Times New Roman"/>
                <w:b/>
                <w:sz w:val="20"/>
              </w:rPr>
              <w:t>Total revenue</w:t>
            </w:r>
          </w:p>
        </w:tc>
        <w:tc>
          <w:tcPr>
            <w:tcW w:w="60"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268</w:t>
            </w:r>
          </w:p>
        </w:tc>
        <w:tc>
          <w:tcPr>
            <w:tcW w:w="96" w:type="dxa"/>
            <w:tcBorders/>
            <w:shd w:fill="CCEEFF" w:val="clear"/>
            <w:vAlign w:val="bottom"/>
          </w:tcPr>
          <w:p>
            <w:pPr>
              <w:pStyle w:val="TableContents"/>
              <w:bidi w:val="0"/>
              <w:spacing w:before="0" w:after="283"/>
              <w:jc w:val="left"/>
              <w:rPr/>
            </w:pPr>
            <w:r>
              <w:rPr/>
              <w:t> </w:t>
            </w:r>
          </w:p>
        </w:tc>
        <w:tc>
          <w:tcPr>
            <w:tcW w:w="96" w:type="dxa"/>
            <w:tcBorders/>
            <w:shd w:fill="CCEEFF" w:val="clear"/>
            <w:vAlign w:val="bottom"/>
          </w:tcPr>
          <w:p>
            <w:pPr>
              <w:pStyle w:val="TableContents"/>
              <w:bidi w:val="0"/>
              <w:spacing w:before="0" w:after="283"/>
              <w:jc w:val="left"/>
              <w:rPr/>
            </w:pPr>
            <w:r>
              <w:rPr/>
              <w:t> </w:t>
            </w:r>
          </w:p>
        </w:tc>
        <w:tc>
          <w:tcPr>
            <w:tcW w:w="200"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53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452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514</w:t>
            </w:r>
          </w:p>
        </w:tc>
        <w:tc>
          <w:tcPr>
            <w:tcW w:w="85"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77" w:type="dxa"/>
            <w:tcBorders>
              <w:bottom w:val="single" w:sz="12" w:space="0" w:color="000000"/>
            </w:tcBorders>
            <w:shd w:fill="CCEEFF" w:val="clear"/>
            <w:tcMar>
              <w:bottom w:w="28" w:type="dxa"/>
            </w:tcMar>
            <w:vAlign w:val="bottom"/>
          </w:tcPr>
          <w:p>
            <w:pPr>
              <w:pStyle w:val="TableContents"/>
              <w:bidi w:val="0"/>
              <w:spacing w:before="0" w:after="0"/>
              <w:jc w:val="left"/>
              <w:rPr>
                <w:rFonts w:ascii="Times New Roman" w:hAnsi="Times New Roman"/>
                <w:b/>
                <w:sz w:val="20"/>
              </w:rPr>
            </w:pPr>
            <w:r>
              <w:rPr>
                <w:rFonts w:ascii="Times New Roman" w:hAnsi="Times New Roman"/>
                <w:b/>
                <w:sz w:val="20"/>
              </w:rPr>
              <w:t>$</w:t>
            </w:r>
          </w:p>
        </w:tc>
        <w:tc>
          <w:tcPr>
            <w:tcW w:w="47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b/>
                <w:sz w:val="20"/>
              </w:rPr>
            </w:pPr>
            <w:r>
              <w:rPr>
                <w:rFonts w:ascii="Times New Roman" w:hAnsi="Times New Roman"/>
                <w:b/>
                <w:sz w:val="20"/>
              </w:rPr>
              <w:t>584</w:t>
            </w:r>
          </w:p>
        </w:tc>
        <w:tc>
          <w:tcPr>
            <w:tcW w:w="7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Commercial revenue for the second quarter and first half of 2026 increased 15% and 27%, respectively, compared to the same periods in 2025. This increase was primarily driven by DAWNZERA product sales. Research and development revenue was also higher in the second quarter and first half of 2026, compared to the same periods in 2025, driven by multiple payments for programs advancing under its R&amp;D collaborations, and excluding the $280 million upfront payment for the global license of sapablursen to Ono Pharmaceutical Co., Ltd. the Company received in the second quarter of 2025.</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Operating Expenses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Operating expenses for the second quarter and first half of 2026 increased year over year, in line with expectations, primarily from investments related to the commercialization efforts for TRYNGOLZA and DAWNZERA and launch preparations for zilganersen in Alexander disease, with full-year expenses remaining on track for low-teens percentage growth year-over-year.</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Balance Sheet</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bookmarkStart w:id="76" w:name="z_Hlk520405858"/>
      <w:bookmarkEnd w:id="76"/>
      <w:r>
        <w:rPr>
          <w:rFonts w:ascii="Times New Roman" w:hAnsi="Times New Roman"/>
          <w:color w:val="000000"/>
          <w:sz w:val="20"/>
        </w:rPr>
        <w:t>As of June 30, 2026, Ionis’ cash, cash equivalents and short-term investments decreased to $2.1 billion, compared to $2.7 billion on December 31, 2025, primarily due to repayment of the 0% convertible notes on April 1, 2026.</w:t>
      </w:r>
    </w:p>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4</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Webcast and Other Updates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Management will host a conference call and webcast to discuss Ionis’ second quarter 2026 results at 8:30 a.m. Eastern time on Wednesday, July 29, 2026. Interested parties may access the webcast </w:t>
      </w:r>
      <w:r>
        <w:rPr>
          <w:rFonts w:ascii="Times New Roman" w:hAnsi="Times New Roman"/>
          <w:color w:val="000000"/>
          <w:sz w:val="20"/>
          <w:u w:val="single"/>
        </w:rPr>
        <w:t>here</w:t>
      </w:r>
      <w:r>
        <w:rPr>
          <w:rFonts w:ascii="Times New Roman" w:hAnsi="Times New Roman"/>
          <w:color w:val="000000"/>
          <w:sz w:val="20"/>
        </w:rPr>
        <w:t xml:space="preserve">. A webcast replay will be available for a limited time at the same address. To access the Company’s second quarter 2026 earnings slides click </w:t>
      </w:r>
      <w:r>
        <w:rPr>
          <w:rFonts w:ascii="Times New Roman" w:hAnsi="Times New Roman"/>
          <w:color w:val="000000"/>
          <w:sz w:val="20"/>
          <w:u w:val="single"/>
        </w:rPr>
        <w:t>here</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Ionis’ Marketed Medicines</w:t>
      </w:r>
    </w:p>
    <w:p>
      <w:pPr>
        <w:pStyle w:val="TextBody"/>
        <w:bidi w:val="0"/>
        <w:spacing w:before="0" w:after="0"/>
        <w:jc w:val="left"/>
        <w:rPr>
          <w:color w:val="000000"/>
        </w:rPr>
      </w:pPr>
      <w:r>
        <w:rPr>
          <w:color w:val="000000"/>
        </w:rPr>
        <w:t> </w:t>
      </w:r>
    </w:p>
    <w:p>
      <w:pPr>
        <w:pStyle w:val="TextBody"/>
        <w:bidi w:val="0"/>
        <w:spacing w:lineRule="auto" w:line="240" w:before="0" w:after="0"/>
        <w:jc w:val="left"/>
        <w:rPr>
          <w:rFonts w:ascii="Times New Roman" w:hAnsi="Times New Roman"/>
          <w:color w:val="000000"/>
          <w:sz w:val="20"/>
        </w:rPr>
      </w:pPr>
      <w:r>
        <w:rPr>
          <w:rFonts w:ascii="Times New Roman" w:hAnsi="Times New Roman"/>
          <w:b/>
          <w:color w:val="000000"/>
          <w:sz w:val="20"/>
        </w:rPr>
        <w:t>TRYNGOLZA®</w:t>
      </w:r>
      <w:r>
        <w:rPr>
          <w:rFonts w:ascii="Times New Roman" w:hAnsi="Times New Roman"/>
          <w:color w:val="000000"/>
          <w:sz w:val="20"/>
        </w:rPr>
        <w:t xml:space="preserve"> </w:t>
      </w:r>
      <w:r>
        <w:rPr>
          <w:rFonts w:ascii="Times New Roman" w:hAnsi="Times New Roman"/>
          <w:b/>
          <w:color w:val="000000"/>
          <w:sz w:val="20"/>
        </w:rPr>
        <w:t>(olezarsen):</w:t>
      </w:r>
      <w:r>
        <w:rPr>
          <w:rFonts w:ascii="Times New Roman" w:hAnsi="Times New Roman"/>
          <w:color w:val="000000"/>
          <w:sz w:val="20"/>
        </w:rPr>
        <w:t xml:space="preserve"> TRYNGOLZA was approved by the U.S. Food and Drug Administration as an adjunct to diet to reduce triglycerides (TG) and the risk of acute pancreatitis in adults with severe hypertriglyceridemia (sHTG: TG ≥500 mg/dL) and as an adjunct to diet to reduce TG in adults with familial chylomicronemia syndrome (FCS). For more information about TRYNGOLZA, including the full U.S. Prescribing Information, visit </w:t>
      </w:r>
      <w:r>
        <w:rPr>
          <w:rFonts w:ascii="Times New Roman" w:hAnsi="Times New Roman"/>
          <w:color w:val="000000"/>
          <w:sz w:val="20"/>
          <w:u w:val="single"/>
        </w:rPr>
        <w:t>tryngolza.com</w:t>
      </w:r>
      <w:r>
        <w:rPr>
          <w:rFonts w:ascii="Times New Roman" w:hAnsi="Times New Roman"/>
          <w:color w:val="000000"/>
          <w:sz w:val="20"/>
        </w:rPr>
        <w:t>.</w:t>
      </w:r>
    </w:p>
    <w:p>
      <w:pPr>
        <w:pStyle w:val="TextBody"/>
        <w:bidi w:val="0"/>
        <w:spacing w:before="0" w:after="0"/>
        <w:jc w:val="left"/>
        <w:rPr>
          <w:color w:val="000000"/>
        </w:rPr>
      </w:pPr>
      <w:r>
        <w:rPr>
          <w:color w:val="000000"/>
        </w:rPr>
        <w:t> </w:t>
      </w:r>
    </w:p>
    <w:p>
      <w:pPr>
        <w:pStyle w:val="TextBody"/>
        <w:bidi w:val="0"/>
        <w:spacing w:lineRule="auto" w:line="240" w:before="0" w:after="0"/>
        <w:jc w:val="both"/>
        <w:rPr>
          <w:rFonts w:ascii="Times New Roman" w:hAnsi="Times New Roman"/>
          <w:color w:val="000000"/>
          <w:sz w:val="20"/>
        </w:rPr>
      </w:pPr>
      <w:r>
        <w:rPr>
          <w:rFonts w:ascii="Times New Roman" w:hAnsi="Times New Roman"/>
          <w:b/>
          <w:color w:val="000000"/>
          <w:sz w:val="20"/>
        </w:rPr>
        <w:t>DAWNZERA®</w:t>
      </w:r>
      <w:r>
        <w:rPr>
          <w:rFonts w:ascii="Times New Roman" w:hAnsi="Times New Roman"/>
          <w:color w:val="000000"/>
          <w:sz w:val="20"/>
        </w:rPr>
        <w:t xml:space="preserve"> </w:t>
      </w:r>
      <w:r>
        <w:rPr>
          <w:rFonts w:ascii="Times New Roman" w:hAnsi="Times New Roman"/>
          <w:b/>
          <w:color w:val="000000"/>
          <w:sz w:val="20"/>
        </w:rPr>
        <w:t>(donidalorsen):</w:t>
      </w:r>
      <w:r>
        <w:rPr>
          <w:rFonts w:ascii="Times New Roman" w:hAnsi="Times New Roman"/>
          <w:color w:val="000000"/>
          <w:sz w:val="20"/>
        </w:rPr>
        <w:t xml:space="preserve"> DAWNZERA was approved by the U.S. Food and Drug Administration for prophylaxis to prevent attacks of hereditary angioedema (HAE) in adult and pediatric patients 12 years of age and older. For more information about DAWNZERA, including the full U.S. Prescribing Information, visit </w:t>
      </w:r>
      <w:r>
        <w:rPr>
          <w:rFonts w:ascii="Times New Roman" w:hAnsi="Times New Roman"/>
          <w:color w:val="000000"/>
          <w:sz w:val="20"/>
          <w:u w:val="single"/>
        </w:rPr>
        <w:t>dawnzera.com</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jc w:val="both"/>
        <w:rPr>
          <w:rFonts w:ascii="Times New Roman" w:hAnsi="Times New Roman"/>
          <w:color w:val="000000"/>
          <w:sz w:val="20"/>
        </w:rPr>
      </w:pPr>
      <w:r>
        <w:rPr>
          <w:rFonts w:ascii="Times New Roman" w:hAnsi="Times New Roman"/>
          <w:b/>
          <w:color w:val="000000"/>
          <w:sz w:val="20"/>
        </w:rPr>
        <w:t>WAINUA®</w:t>
      </w:r>
      <w:r>
        <w:rPr>
          <w:rFonts w:ascii="Times New Roman" w:hAnsi="Times New Roman"/>
          <w:color w:val="000000"/>
          <w:sz w:val="20"/>
        </w:rPr>
        <w:t xml:space="preserve"> </w:t>
      </w:r>
      <w:r>
        <w:rPr>
          <w:rFonts w:ascii="Times New Roman" w:hAnsi="Times New Roman"/>
          <w:b/>
          <w:color w:val="000000"/>
          <w:sz w:val="20"/>
        </w:rPr>
        <w:t>(eplontersen):</w:t>
      </w:r>
      <w:r>
        <w:rPr>
          <w:rFonts w:ascii="Times New Roman" w:hAnsi="Times New Roman"/>
          <w:color w:val="000000"/>
          <w:sz w:val="20"/>
        </w:rPr>
        <w:t xml:space="preserve"> WAINUA was approved by the U.S. Food and Drug Administration for the treatment of the polyneuropathy of hereditary transthyretin-mediated amyloidosis in adults. For more information about WAINUA, including the full U.S. Prescribing Information, visit </w:t>
      </w:r>
      <w:r>
        <w:rPr>
          <w:rFonts w:ascii="Times New Roman" w:hAnsi="Times New Roman"/>
          <w:color w:val="000000"/>
          <w:sz w:val="20"/>
          <w:u w:val="single"/>
        </w:rPr>
        <w:t>wainua.com</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For more information about SPINRAZA and QALSODY, visit </w:t>
      </w:r>
      <w:r>
        <w:rPr>
          <w:rFonts w:ascii="Times New Roman" w:hAnsi="Times New Roman"/>
          <w:color w:val="000000"/>
          <w:sz w:val="20"/>
          <w:u w:val="single"/>
        </w:rPr>
        <w:t>https://www.spinraza.com/</w:t>
      </w:r>
      <w:r>
        <w:rPr>
          <w:rFonts w:ascii="Times New Roman" w:hAnsi="Times New Roman"/>
          <w:color w:val="000000"/>
          <w:sz w:val="20"/>
        </w:rPr>
        <w:t xml:space="preserve"> and </w:t>
      </w:r>
      <w:r>
        <w:rPr>
          <w:rFonts w:ascii="Times New Roman" w:hAnsi="Times New Roman"/>
          <w:color w:val="000000"/>
          <w:sz w:val="20"/>
          <w:u w:val="single"/>
        </w:rPr>
        <w:t>https://www.qalsody.com/</w:t>
      </w:r>
      <w:r>
        <w:rPr>
          <w:rFonts w:ascii="Times New Roman" w:hAnsi="Times New Roman"/>
          <w:color w:val="000000"/>
          <w:sz w:val="20"/>
        </w:rPr>
        <w:t>, respectively. QALSODY is approved under accelerated approval based on reduction in plasma neurofilament light chain (NfL) observed in patients treated with QALSODY. Continued approval may be contingent upon verification of clinical benefit in confirmatory trial(s).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both"/>
        <w:rPr>
          <w:rFonts w:ascii="Times New Roman" w:hAnsi="Times New Roman"/>
          <w:b/>
          <w:color w:val="000000"/>
          <w:sz w:val="20"/>
        </w:rPr>
      </w:pPr>
      <w:r>
        <w:rPr>
          <w:rFonts w:ascii="Times New Roman" w:hAnsi="Times New Roman"/>
          <w:b/>
          <w:color w:val="000000"/>
          <w:sz w:val="20"/>
        </w:rPr>
        <w:t>About Ionis Pharmaceuticals, Inc.</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 xml:space="preserve">For more than three decades, Ionis has invented medicines that bring better futures to people with serious diseases. Ionis currently has marketed medicines and a leading pipeline in neurology, cardiometabolic disease and select areas of high patient need. As the pioneer in RNA-targeted medicines, Ionis continues to drive innovation in RNA therapies in addition to advancing new approaches in gene editing. A deep understanding of disease biology and industry-leading technology propels our work, coupled with a passion and urgency to deliver life-changing advances for patients. To learn more about Ionis, visit </w:t>
      </w:r>
      <w:r>
        <w:rPr>
          <w:rFonts w:ascii="Times New Roman" w:hAnsi="Times New Roman"/>
          <w:color w:val="000000"/>
          <w:sz w:val="20"/>
          <w:u w:val="single"/>
        </w:rPr>
        <w:t>Ionis.com</w:t>
      </w:r>
      <w:r>
        <w:rPr>
          <w:rFonts w:ascii="Times New Roman" w:hAnsi="Times New Roman"/>
          <w:color w:val="000000"/>
          <w:sz w:val="20"/>
        </w:rPr>
        <w:t xml:space="preserve"> and follow us on </w:t>
      </w:r>
      <w:r>
        <w:rPr>
          <w:rFonts w:ascii="Times New Roman" w:hAnsi="Times New Roman"/>
          <w:color w:val="000000"/>
          <w:sz w:val="20"/>
          <w:u w:val="single"/>
        </w:rPr>
        <w:t>X (Twitter),</w:t>
      </w:r>
      <w:r>
        <w:rPr>
          <w:rFonts w:ascii="Times New Roman" w:hAnsi="Times New Roman"/>
          <w:color w:val="000000"/>
          <w:sz w:val="20"/>
        </w:rPr>
        <w:t xml:space="preserve"> </w:t>
      </w:r>
      <w:r>
        <w:rPr>
          <w:rFonts w:ascii="Times New Roman" w:hAnsi="Times New Roman"/>
          <w:color w:val="000000"/>
          <w:sz w:val="20"/>
          <w:u w:val="single"/>
        </w:rPr>
        <w:t>LinkedIn</w:t>
      </w:r>
      <w:r>
        <w:rPr>
          <w:rFonts w:ascii="Times New Roman" w:hAnsi="Times New Roman"/>
          <w:color w:val="000000"/>
          <w:sz w:val="20"/>
        </w:rPr>
        <w:t xml:space="preserve"> and </w:t>
      </w:r>
      <w:r>
        <w:rPr>
          <w:rFonts w:ascii="Times New Roman" w:hAnsi="Times New Roman"/>
          <w:color w:val="000000"/>
          <w:sz w:val="20"/>
          <w:u w:val="single"/>
        </w:rPr>
        <w:t>Instagram</w:t>
      </w:r>
      <w:r>
        <w:rPr>
          <w:rFonts w:ascii="Times New Roman" w:hAnsi="Times New Roman"/>
          <w:color w:val="000000"/>
          <w:sz w:val="20"/>
        </w:rPr>
        <w: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Forward-looking Statements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This press release includes forward-looking statements regarding Ionis’ business, financial guidance and the therapeutic and commercial potential of our commercial medicines, additional medicines in development, technologies and our expectations regarding development and regulatory milestones. Any statement describing Ionis’ goals, expectations, financial or other projections, intentions or beliefs is a forward-looking statement and should be considered an at-risk statement. Such statements are subject to certain risks and uncertainties including those inherent in the process of discovering, developing and commercializing medicines that are safe and effective for use as human therapeutics, and in the endeavor of building a business around such medicines. Ionis’ forward-looking statements also involve assumptions that, if they never materialize or prove correct, could cause its results to differ materially from those expressed or implied by such forward-looking statements. Although Ionis’ forward-looking statements reflect the good faith judgment of its management, these statements are based only on facts and factors currently known by Ionis. Except as required by law, we undertake no obligation to update any forward-looking statements for any reason. As a result, you are cautioned not to rely on these forward-looking statements. These and other risks concerning Ionis’ programs are described in additional detail in Ionis’ annual report on Form 10-K for the year ended December 31, 2025, and most recent Form 10-Q, which are on file with the Securities and Exchange Commission. Copies of these and other documents are available from the Company.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5</w:t>
      </w:r>
    </w:p>
    <w:p>
      <w:pPr>
        <w:pStyle w:val="HorizontalLine"/>
        <w:pBdr>
          <w:bottom w:val="single" w:sz="12" w:space="0" w:color="808080"/>
        </w:pBdr>
        <w:bidi w:val="0"/>
        <w:spacing w:before="200" w:after="200"/>
        <w:jc w:val="left"/>
        <w:rPr/>
      </w:pPr>
      <w:r>
        <w:rPr/>
      </w:r>
    </w:p>
    <w:p>
      <w:pPr>
        <w:pStyle w:val="TextBody"/>
        <w:bidi w:val="0"/>
        <w:spacing w:before="0" w:after="0"/>
        <w:jc w:val="both"/>
        <w:rPr>
          <w:rFonts w:ascii="Times New Roman" w:hAnsi="Times New Roman"/>
          <w:color w:val="000000"/>
          <w:sz w:val="20"/>
        </w:rPr>
      </w:pPr>
      <w:r>
        <w:rPr>
          <w:rFonts w:ascii="Times New Roman" w:hAnsi="Times New Roman"/>
          <w:color w:val="000000"/>
          <w:sz w:val="20"/>
        </w:rPr>
        <w:t>In this press release, unless the context requires otherwise, “Ionis,” “Company,” “we,” “our” and “us” all refer to Ionis Pharmaceuticals and its subsidiaries.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lineRule="auto" w:line="240" w:before="0" w:after="0"/>
        <w:jc w:val="both"/>
        <w:rPr>
          <w:rFonts w:ascii="Times New Roman" w:hAnsi="Times New Roman"/>
          <w:color w:val="000000"/>
          <w:sz w:val="20"/>
        </w:rPr>
      </w:pPr>
      <w:r>
        <w:rPr>
          <w:rFonts w:ascii="Times New Roman" w:hAnsi="Times New Roman"/>
          <w:color w:val="000000"/>
          <w:sz w:val="20"/>
        </w:rPr>
        <w:t>Ionis Pharmaceuticals® is a registered trademark of Ionis Pharmaceuticals, Inc. TRYNGOLZA® is a registered trademark of Ionis Pharmaceuticals, Inc. DAWNZERA® is a trademark of Ionis Pharmaceuticals, Inc. AKCEATM is a trademark of Akcea Therapeutics, Inc. TEGSEDITM is a trademark of Akcea Therapeutics, Inc. WAYLIVRATM is a trademark of Akcea Therapeutics, Inc. SPINRAZA® and QALSODY® are registered trademarks of Biogen. WAINUA® is a registered trademark of the AstraZeneca group of companies.</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Investor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D. Wade Walke, Ph.D.</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IR@ionis.com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760-603-2331</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b/>
          <w:color w:val="000000"/>
          <w:sz w:val="20"/>
        </w:rPr>
      </w:pPr>
      <w:r>
        <w:rPr>
          <w:rFonts w:ascii="Times New Roman" w:hAnsi="Times New Roman"/>
          <w:b/>
          <w:color w:val="000000"/>
          <w:sz w:val="20"/>
        </w:rPr>
        <w:t>Ionis Media Contact: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Hayley Soffer</w:t>
      </w:r>
    </w:p>
    <w:p>
      <w:pPr>
        <w:pStyle w:val="TextBody"/>
        <w:bidi w:val="0"/>
        <w:spacing w:before="0" w:after="0"/>
        <w:jc w:val="left"/>
        <w:rPr>
          <w:rFonts w:ascii="Times New Roman" w:hAnsi="Times New Roman"/>
          <w:color w:val="000000"/>
          <w:sz w:val="20"/>
          <w:u w:val="single"/>
        </w:rPr>
      </w:pPr>
      <w:r>
        <w:rPr>
          <w:rFonts w:ascii="Times New Roman" w:hAnsi="Times New Roman"/>
          <w:color w:val="000000"/>
          <w:sz w:val="20"/>
          <w:u w:val="single"/>
        </w:rPr>
        <w:t>media@ionis.com</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760-603-4679</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6</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bookmarkStart w:id="77" w:name="z_Hlk505093856"/>
      <w:bookmarkEnd w:id="77"/>
      <w:r>
        <w:rPr>
          <w:rFonts w:ascii="Times New Roman" w:hAnsi="Times New Roman"/>
          <w:b/>
          <w:color w:val="000000"/>
          <w:sz w:val="20"/>
        </w:rPr>
        <w:t>IONIS PHARMACEUTICALS,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SELECTED FINANCIAL INFORMATION</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Statements of Operations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Millions, Except Per Share Data)</w:t>
      </w:r>
    </w:p>
    <w:p>
      <w:pPr>
        <w:pStyle w:val="TextBody"/>
        <w:bidi w:val="0"/>
        <w:spacing w:before="0" w:after="0"/>
        <w:jc w:val="center"/>
        <w:rPr>
          <w:rFonts w:ascii="Times New Roman" w:hAnsi="Times New Roman"/>
          <w:b/>
          <w:sz w:val="20"/>
        </w:rPr>
      </w:pPr>
      <w:r>
        <w:rPr>
          <w:rFonts w:ascii="Times New Roman" w:hAnsi="Times New Roman"/>
          <w:b/>
          <w:sz w:val="20"/>
        </w:rPr>
      </w:r>
    </w:p>
    <w:p>
      <w:pPr>
        <w:pStyle w:val="Normal"/>
        <w:bidi w:val="0"/>
        <w:spacing w:before="0" w:after="0"/>
        <w:jc w:val="left"/>
        <w:rPr>
          <w:sz w:val="4"/>
          <w:szCs w:val="4"/>
        </w:rPr>
      </w:pPr>
      <w:r>
        <w:rPr>
          <w:sz w:val="4"/>
          <w:szCs w:val="4"/>
        </w:rPr>
      </w:r>
      <w:bookmarkStart w:id="78" w:name="z407bbf291937436ba7475babbd39bf18"/>
      <w:bookmarkStart w:id="79" w:name="z407bbf291937436ba7475babbd39bf18"/>
      <w:bookmarkEnd w:id="79"/>
    </w:p>
    <w:tbl>
      <w:tblPr>
        <w:tblW w:w="8345" w:type="dxa"/>
        <w:jc w:val="left"/>
        <w:tblInd w:w="0" w:type="dxa"/>
        <w:tblLayout w:type="fixed"/>
        <w:tblCellMar>
          <w:top w:w="0" w:type="dxa"/>
          <w:left w:w="0" w:type="dxa"/>
          <w:bottom w:w="0" w:type="dxa"/>
          <w:right w:w="0" w:type="dxa"/>
        </w:tblCellMar>
      </w:tblPr>
      <w:tblGrid>
        <w:gridCol w:w="4925"/>
        <w:gridCol w:w="60"/>
        <w:gridCol w:w="226"/>
        <w:gridCol w:w="585"/>
        <w:gridCol w:w="106"/>
        <w:gridCol w:w="79"/>
        <w:gridCol w:w="166"/>
        <w:gridCol w:w="505"/>
        <w:gridCol w:w="80"/>
        <w:gridCol w:w="60"/>
        <w:gridCol w:w="184"/>
        <w:gridCol w:w="477"/>
        <w:gridCol w:w="86"/>
        <w:gridCol w:w="65"/>
        <w:gridCol w:w="184"/>
        <w:gridCol w:w="477"/>
        <w:gridCol w:w="80"/>
      </w:tblGrid>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7"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Three months ended</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3"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Six months ended</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7"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3"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1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106" w:type="dxa"/>
            <w:tcBorders>
              <w:bottom w:val="single" w:sz="12" w:space="0" w:color="000000"/>
            </w:tcBorders>
            <w:tcMar>
              <w:bottom w:w="28" w:type="dxa"/>
            </w:tcMar>
            <w:vAlign w:val="bottom"/>
          </w:tcPr>
          <w:p>
            <w:pPr>
              <w:pStyle w:val="TableContents"/>
              <w:bidi w:val="0"/>
              <w:spacing w:before="0" w:after="283"/>
              <w:jc w:val="left"/>
              <w:rPr/>
            </w:pPr>
            <w:r>
              <w:rPr/>
              <w:t> </w:t>
            </w:r>
          </w:p>
        </w:tc>
        <w:tc>
          <w:tcPr>
            <w:tcW w:w="79" w:type="dxa"/>
            <w:tcBorders>
              <w:bottom w:val="single" w:sz="12" w:space="0" w:color="000000"/>
            </w:tcBorders>
            <w:tcMar>
              <w:bottom w:w="28" w:type="dxa"/>
            </w:tcMar>
            <w:vAlign w:val="bottom"/>
          </w:tcPr>
          <w:p>
            <w:pPr>
              <w:pStyle w:val="TableContents"/>
              <w:bidi w:val="0"/>
              <w:spacing w:before="0" w:after="283"/>
              <w:jc w:val="left"/>
              <w:rPr/>
            </w:pPr>
            <w:r>
              <w:rPr/>
              <w:t> </w:t>
            </w:r>
          </w:p>
        </w:tc>
        <w:tc>
          <w:tcPr>
            <w:tcW w:w="67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86" w:type="dxa"/>
            <w:tcBorders>
              <w:bottom w:val="single" w:sz="12" w:space="0" w:color="000000"/>
            </w:tcBorders>
            <w:tcMar>
              <w:bottom w:w="28" w:type="dxa"/>
            </w:tcMar>
            <w:vAlign w:val="bottom"/>
          </w:tcPr>
          <w:p>
            <w:pPr>
              <w:pStyle w:val="TableContents"/>
              <w:bidi w:val="0"/>
              <w:spacing w:before="0" w:after="283"/>
              <w:jc w:val="left"/>
              <w:rPr/>
            </w:pPr>
            <w:r>
              <w:rPr/>
              <w:t> </w:t>
            </w:r>
          </w:p>
        </w:tc>
        <w:tc>
          <w:tcPr>
            <w:tcW w:w="65" w:type="dxa"/>
            <w:tcBorders>
              <w:bottom w:val="single" w:sz="12" w:space="0" w:color="000000"/>
            </w:tcBorders>
            <w:tcMar>
              <w:bottom w:w="28" w:type="dxa"/>
            </w:tcMar>
            <w:vAlign w:val="bottom"/>
          </w:tcPr>
          <w:p>
            <w:pPr>
              <w:pStyle w:val="TableContents"/>
              <w:bidi w:val="0"/>
              <w:spacing w:before="0" w:after="283"/>
              <w:jc w:val="left"/>
              <w:rPr/>
            </w:pPr>
            <w:r>
              <w:rPr/>
              <w:t> </w:t>
            </w:r>
          </w:p>
        </w:tc>
        <w:tc>
          <w:tcPr>
            <w:tcW w:w="661"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0" w:type="dxa"/>
            <w:gridSpan w:val="14"/>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(unaudited)</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Revenue:</w:t>
            </w:r>
          </w:p>
        </w:tc>
        <w:tc>
          <w:tcPr>
            <w:tcW w:w="60" w:type="dxa"/>
            <w:tcBorders/>
            <w:vAlign w:val="bottom"/>
          </w:tcPr>
          <w:p>
            <w:pPr>
              <w:pStyle w:val="TableContents"/>
              <w:bidi w:val="0"/>
              <w:spacing w:before="0" w:after="283"/>
              <w:jc w:val="left"/>
              <w:rPr/>
            </w:pPr>
            <w:r>
              <w:rPr/>
              <w:t> </w:t>
            </w:r>
          </w:p>
        </w:tc>
        <w:tc>
          <w:tcPr>
            <w:tcW w:w="811" w:type="dxa"/>
            <w:gridSpan w:val="2"/>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7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1" w:type="dxa"/>
            <w:gridSpan w:val="2"/>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6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Commercial revenue:</w:t>
            </w:r>
          </w:p>
        </w:tc>
        <w:tc>
          <w:tcPr>
            <w:tcW w:w="60" w:type="dxa"/>
            <w:tcBorders/>
            <w:vAlign w:val="bottom"/>
          </w:tcPr>
          <w:p>
            <w:pPr>
              <w:pStyle w:val="TableContents"/>
              <w:bidi w:val="0"/>
              <w:spacing w:before="0" w:after="283"/>
              <w:jc w:val="left"/>
              <w:rPr/>
            </w:pPr>
            <w:r>
              <w:rPr/>
              <w:t> </w:t>
            </w:r>
          </w:p>
        </w:tc>
        <w:tc>
          <w:tcPr>
            <w:tcW w:w="811" w:type="dxa"/>
            <w:gridSpan w:val="2"/>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67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61" w:type="dxa"/>
            <w:gridSpan w:val="2"/>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661" w:type="dxa"/>
            <w:gridSpan w:val="2"/>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Product sales, net</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Royalty revenue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76</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134</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Other commercial revenue</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Total commercial revenue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119</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103</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226</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179</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Research and development revenue:</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Collaborative agreement revenue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133</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337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254</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382</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WAINUA joint development revenue</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684" w:right="0" w:hanging="144"/>
              <w:jc w:val="left"/>
              <w:rPr>
                <w:rFonts w:ascii="Times New Roman" w:hAnsi="Times New Roman"/>
                <w:sz w:val="20"/>
              </w:rPr>
            </w:pPr>
            <w:r>
              <w:rPr>
                <w:rFonts w:ascii="Times New Roman" w:hAnsi="Times New Roman"/>
                <w:sz w:val="20"/>
              </w:rPr>
              <w:t>Total research and development revenue</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149</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349</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288</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405</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revenue</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268</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514</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584</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Expenses: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Cost of sales</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Research, development and patent</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217</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217</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427</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418</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Selling, general and administrative</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150</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301</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167</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540" w:right="0" w:hanging="0"/>
              <w:jc w:val="left"/>
              <w:rPr>
                <w:rFonts w:ascii="Times New Roman" w:hAnsi="Times New Roman"/>
                <w:sz w:val="20"/>
              </w:rPr>
            </w:pPr>
            <w:r>
              <w:rPr>
                <w:rFonts w:ascii="Times New Roman" w:hAnsi="Times New Roman"/>
                <w:sz w:val="20"/>
              </w:rPr>
              <w:t>Total operating expenses</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370</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312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734</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591</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(loss) from operations</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1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(220</w:t>
            </w:r>
          </w:p>
        </w:tc>
        <w:tc>
          <w:tcPr>
            <w:tcW w:w="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2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283"/>
              <w:jc w:val="right"/>
              <w:rPr/>
            </w:pPr>
            <w:r>
              <w:rPr/>
              <w:t> </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 </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Other income (expense):</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Interest expense related to the sale of future royalties</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(18</w:t>
            </w:r>
          </w:p>
        </w:tc>
        <w:tc>
          <w:tcPr>
            <w:tcW w:w="1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(35</w:t>
            </w:r>
          </w:p>
        </w:tc>
        <w:tc>
          <w:tcPr>
            <w:tcW w:w="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(37</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25"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income, net</w:t>
            </w:r>
          </w:p>
        </w:tc>
        <w:tc>
          <w:tcPr>
            <w:tcW w:w="60" w:type="dxa"/>
            <w:tcBorders/>
            <w:shd w:fill="CCEEFF" w:val="clear"/>
            <w:vAlign w:val="bottom"/>
          </w:tcPr>
          <w:p>
            <w:pPr>
              <w:pStyle w:val="TableContents"/>
              <w:bidi w:val="0"/>
              <w:spacing w:before="0" w:after="283"/>
              <w:jc w:val="left"/>
              <w:rPr/>
            </w:pPr>
            <w:r>
              <w:rPr/>
              <w:t> </w:t>
            </w:r>
          </w:p>
        </w:tc>
        <w:tc>
          <w:tcPr>
            <w:tcW w:w="22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49</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21</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(loss) before income tax benefit (expense)</w:t>
            </w:r>
          </w:p>
        </w:tc>
        <w:tc>
          <w:tcPr>
            <w:tcW w:w="60" w:type="dxa"/>
            <w:tcBorders/>
            <w:vAlign w:val="bottom"/>
          </w:tcPr>
          <w:p>
            <w:pPr>
              <w:pStyle w:val="TableContents"/>
              <w:bidi w:val="0"/>
              <w:spacing w:before="0" w:after="283"/>
              <w:jc w:val="left"/>
              <w:rPr/>
            </w:pPr>
            <w:r>
              <w:rPr/>
              <w:t> </w:t>
            </w:r>
          </w:p>
        </w:tc>
        <w:tc>
          <w:tcPr>
            <w:tcW w:w="226" w:type="dxa"/>
            <w:tcBorders/>
            <w:vAlign w:val="bottom"/>
          </w:tcPr>
          <w:p>
            <w:pPr>
              <w:pStyle w:val="TableContents"/>
              <w:bidi w:val="0"/>
              <w:spacing w:before="0" w:after="283"/>
              <w:jc w:val="left"/>
              <w:rPr/>
            </w:pPr>
            <w:r>
              <w:rPr/>
              <w:t> </w:t>
            </w:r>
          </w:p>
        </w:tc>
        <w:tc>
          <w:tcPr>
            <w:tcW w:w="58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(114</w:t>
            </w:r>
          </w:p>
        </w:tc>
        <w:tc>
          <w:tcPr>
            <w:tcW w:w="1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 w:type="dxa"/>
            <w:tcBorders/>
            <w:vAlign w:val="bottom"/>
          </w:tcPr>
          <w:p>
            <w:pPr>
              <w:pStyle w:val="TableContents"/>
              <w:bidi w:val="0"/>
              <w:spacing w:before="0" w:after="283"/>
              <w:jc w:val="left"/>
              <w:rPr/>
            </w:pPr>
            <w:r>
              <w:rPr/>
              <w:t> </w:t>
            </w:r>
          </w:p>
        </w:tc>
        <w:tc>
          <w:tcPr>
            <w:tcW w:w="166" w:type="dxa"/>
            <w:tcBorders/>
            <w:vAlign w:val="bottom"/>
          </w:tcPr>
          <w:p>
            <w:pPr>
              <w:pStyle w:val="TableContents"/>
              <w:bidi w:val="0"/>
              <w:spacing w:before="0" w:after="283"/>
              <w:jc w:val="left"/>
              <w:rPr/>
            </w:pPr>
            <w:r>
              <w:rPr/>
              <w:t> </w:t>
            </w:r>
          </w:p>
        </w:tc>
        <w:tc>
          <w:tcPr>
            <w:tcW w:w="505"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(206</w:t>
            </w:r>
          </w:p>
        </w:tc>
        <w:tc>
          <w:tcPr>
            <w:tcW w:w="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84" w:type="dxa"/>
            <w:tcBorders/>
            <w:vAlign w:val="bottom"/>
          </w:tcPr>
          <w:p>
            <w:pPr>
              <w:pStyle w:val="TableContents"/>
              <w:bidi w:val="0"/>
              <w:spacing w:before="0" w:after="283"/>
              <w:jc w:val="left"/>
              <w:rPr/>
            </w:pPr>
            <w:r>
              <w:rPr/>
              <w:t> </w:t>
            </w:r>
          </w:p>
        </w:tc>
        <w:tc>
          <w:tcPr>
            <w:tcW w:w="47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Income tax benefit (expense)</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1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w:t>
            </w:r>
          </w:p>
        </w:tc>
        <w:tc>
          <w:tcPr>
            <w:tcW w:w="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492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6" w:type="dxa"/>
            <w:tcBorders/>
            <w:shd w:fill="CCEEFF" w:val="clear"/>
            <w:vAlign w:val="bottom"/>
          </w:tcPr>
          <w:p>
            <w:pPr>
              <w:pStyle w:val="TableContents"/>
              <w:bidi w:val="0"/>
              <w:spacing w:before="0" w:after="283"/>
              <w:jc w:val="left"/>
              <w:rPr/>
            </w:pPr>
            <w:r>
              <w:rPr/>
              <w:t> </w:t>
            </w:r>
          </w:p>
        </w:tc>
        <w:tc>
          <w:tcPr>
            <w:tcW w:w="585" w:type="dxa"/>
            <w:tcBorders/>
            <w:shd w:fill="CCEEFF" w:val="clear"/>
            <w:vAlign w:val="bottom"/>
          </w:tcPr>
          <w:p>
            <w:pPr>
              <w:pStyle w:val="TableContents"/>
              <w:bidi w:val="0"/>
              <w:spacing w:before="0" w:after="283"/>
              <w:jc w:val="right"/>
              <w:rPr/>
            </w:pPr>
            <w:r>
              <w:rPr/>
              <w:t> </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shd w:fill="CCEEFF" w:val="clear"/>
            <w:vAlign w:val="bottom"/>
          </w:tcPr>
          <w:p>
            <w:pPr>
              <w:pStyle w:val="TableContents"/>
              <w:bidi w:val="0"/>
              <w:spacing w:before="0" w:after="283"/>
              <w:jc w:val="left"/>
              <w:rPr/>
            </w:pPr>
            <w:r>
              <w:rPr/>
              <w:t> </w:t>
            </w:r>
          </w:p>
        </w:tc>
        <w:tc>
          <w:tcPr>
            <w:tcW w:w="505"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 </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shd w:fill="CCEEFF" w:val="clear"/>
            <w:vAlign w:val="bottom"/>
          </w:tcPr>
          <w:p>
            <w:pPr>
              <w:pStyle w:val="TableContents"/>
              <w:bidi w:val="0"/>
              <w:spacing w:before="0" w:after="283"/>
              <w:jc w:val="left"/>
              <w:rPr/>
            </w:pPr>
            <w:r>
              <w:rPr/>
              <w:t> </w:t>
            </w:r>
          </w:p>
        </w:tc>
        <w:tc>
          <w:tcPr>
            <w:tcW w:w="477" w:type="dxa"/>
            <w:tcBorders/>
            <w:shd w:fill="CCEEFF" w:val="clear"/>
            <w:vAlign w:val="bottom"/>
          </w:tcPr>
          <w:p>
            <w:pPr>
              <w:pStyle w:val="TableContents"/>
              <w:bidi w:val="0"/>
              <w:spacing w:before="0" w:after="283"/>
              <w:jc w:val="right"/>
              <w:rPr/>
            </w:pPr>
            <w:r>
              <w:rPr/>
              <w:t> </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Net income (loss)</w:t>
            </w:r>
          </w:p>
        </w:tc>
        <w:tc>
          <w:tcPr>
            <w:tcW w:w="60" w:type="dxa"/>
            <w:tcBorders/>
            <w:vAlign w:val="bottom"/>
          </w:tcPr>
          <w:p>
            <w:pPr>
              <w:pStyle w:val="TableContents"/>
              <w:bidi w:val="0"/>
              <w:spacing w:before="0" w:after="283"/>
              <w:jc w:val="left"/>
              <w:rPr/>
            </w:pPr>
            <w:r>
              <w:rPr/>
              <w:t> </w:t>
            </w:r>
          </w:p>
        </w:tc>
        <w:tc>
          <w:tcPr>
            <w:tcW w:w="2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1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 w:type="dxa"/>
            <w:tcBorders/>
            <w:vAlign w:val="bottom"/>
          </w:tcPr>
          <w:p>
            <w:pPr>
              <w:pStyle w:val="TableContents"/>
              <w:bidi w:val="0"/>
              <w:spacing w:before="0" w:after="283"/>
              <w:jc w:val="lef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(207</w:t>
            </w:r>
          </w:p>
        </w:tc>
        <w:tc>
          <w:tcPr>
            <w:tcW w:w="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Basic net income (loss) per share</w:t>
            </w:r>
          </w:p>
        </w:tc>
        <w:tc>
          <w:tcPr>
            <w:tcW w:w="60" w:type="dxa"/>
            <w:tcBorders/>
            <w:shd w:fill="CCEEFF" w:val="clear"/>
            <w:vAlign w:val="bottom"/>
          </w:tcPr>
          <w:p>
            <w:pPr>
              <w:pStyle w:val="TableContents"/>
              <w:bidi w:val="0"/>
              <w:spacing w:before="0" w:after="283"/>
              <w:jc w:val="left"/>
              <w:rPr/>
            </w:pPr>
            <w:r>
              <w:rPr/>
              <w:t> </w:t>
            </w:r>
          </w:p>
        </w:tc>
        <w:tc>
          <w:tcPr>
            <w:tcW w:w="22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(0.69</w:t>
            </w:r>
          </w:p>
        </w:tc>
        <w:tc>
          <w:tcPr>
            <w:tcW w:w="10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 w:type="dxa"/>
            <w:tcBorders/>
            <w:shd w:fill="CCEEFF" w:val="clear"/>
            <w:vAlign w:val="bottom"/>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0.78</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w:t>
            </w:r>
          </w:p>
        </w:tc>
        <w:tc>
          <w:tcPr>
            <w:tcW w:w="86"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(0.15</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Diluted net income (loss) per share</w:t>
            </w:r>
          </w:p>
        </w:tc>
        <w:tc>
          <w:tcPr>
            <w:tcW w:w="60" w:type="dxa"/>
            <w:tcBorders/>
            <w:vAlign w:val="bottom"/>
          </w:tcPr>
          <w:p>
            <w:pPr>
              <w:pStyle w:val="TableContents"/>
              <w:bidi w:val="0"/>
              <w:spacing w:before="0" w:after="283"/>
              <w:jc w:val="left"/>
              <w:rPr/>
            </w:pPr>
            <w:r>
              <w:rPr/>
              <w:t> </w:t>
            </w:r>
          </w:p>
        </w:tc>
        <w:tc>
          <w:tcPr>
            <w:tcW w:w="22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8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(0.69</w:t>
            </w:r>
          </w:p>
        </w:tc>
        <w:tc>
          <w:tcPr>
            <w:tcW w:w="10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9" w:type="dxa"/>
            <w:tcBorders/>
            <w:vAlign w:val="bottom"/>
          </w:tcPr>
          <w:p>
            <w:pPr>
              <w:pStyle w:val="TableContents"/>
              <w:bidi w:val="0"/>
              <w:spacing w:before="0" w:after="283"/>
              <w:jc w:val="left"/>
              <w:rPr/>
            </w:pPr>
            <w:r>
              <w:rPr/>
              <w:t> </w:t>
            </w:r>
          </w:p>
        </w:tc>
        <w:tc>
          <w:tcPr>
            <w:tcW w:w="166"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05"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0.70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(1.25</w:t>
            </w:r>
          </w:p>
        </w:tc>
        <w:tc>
          <w:tcPr>
            <w:tcW w:w="86"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5" w:type="dxa"/>
            <w:tcBorders/>
            <w:vAlign w:val="bottom"/>
          </w:tcPr>
          <w:p>
            <w:pPr>
              <w:pStyle w:val="TableContents"/>
              <w:bidi w:val="0"/>
              <w:spacing w:before="0" w:after="283"/>
              <w:jc w:val="left"/>
              <w:rPr/>
            </w:pPr>
            <w:r>
              <w:rPr/>
              <w:t> </w:t>
            </w:r>
          </w:p>
        </w:tc>
        <w:tc>
          <w:tcPr>
            <w:tcW w:w="184"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7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(0.15</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4925"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Shares used in computing basic net income (loss) per share</w:t>
            </w:r>
          </w:p>
        </w:tc>
        <w:tc>
          <w:tcPr>
            <w:tcW w:w="60" w:type="dxa"/>
            <w:tcBorders/>
            <w:shd w:fill="CCEEFF" w:val="clear"/>
            <w:vAlign w:val="bottom"/>
          </w:tcPr>
          <w:p>
            <w:pPr>
              <w:pStyle w:val="TableContents"/>
              <w:bidi w:val="0"/>
              <w:spacing w:before="0" w:after="283"/>
              <w:jc w:val="left"/>
              <w:rPr/>
            </w:pPr>
            <w:r>
              <w:rPr/>
              <w:t> </w:t>
            </w:r>
          </w:p>
        </w:tc>
        <w:tc>
          <w:tcPr>
            <w:tcW w:w="22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8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106"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pPr>
            <w:r>
              <w:rPr/>
              <w:t> </w:t>
            </w:r>
          </w:p>
        </w:tc>
        <w:tc>
          <w:tcPr>
            <w:tcW w:w="166"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505"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86" w:type="dxa"/>
            <w:tcBorders/>
            <w:shd w:fill="CCEEFF" w:val="clear"/>
            <w:vAlign w:val="bottom"/>
          </w:tcPr>
          <w:p>
            <w:pPr>
              <w:pStyle w:val="TableContents"/>
              <w:bidi w:val="0"/>
              <w:spacing w:before="0" w:after="283"/>
              <w:jc w:val="left"/>
              <w:rPr/>
            </w:pPr>
            <w:r>
              <w:rPr/>
              <w:t> </w:t>
            </w:r>
          </w:p>
        </w:tc>
        <w:tc>
          <w:tcPr>
            <w:tcW w:w="65" w:type="dxa"/>
            <w:tcBorders/>
            <w:shd w:fill="CCEEFF" w:val="clear"/>
            <w:vAlign w:val="bottom"/>
          </w:tcPr>
          <w:p>
            <w:pPr>
              <w:pStyle w:val="TableContents"/>
              <w:bidi w:val="0"/>
              <w:spacing w:before="0" w:after="283"/>
              <w:jc w:val="left"/>
              <w:rPr/>
            </w:pPr>
            <w:r>
              <w:rPr/>
              <w:t> </w:t>
            </w:r>
          </w:p>
        </w:tc>
        <w:tc>
          <w:tcPr>
            <w:tcW w:w="184" w:type="dxa"/>
            <w:tcBorders>
              <w:bottom w:val="double" w:sz="8" w:space="0" w:color="000000"/>
            </w:tcBorders>
            <w:shd w:fill="CCEEFF" w:val="clear"/>
            <w:tcMar>
              <w:bottom w:w="28" w:type="dxa"/>
            </w:tcMar>
            <w:vAlign w:val="bottom"/>
          </w:tcPr>
          <w:p>
            <w:pPr>
              <w:pStyle w:val="TableContents"/>
              <w:bidi w:val="0"/>
              <w:spacing w:before="0" w:after="283"/>
              <w:jc w:val="left"/>
              <w:rPr/>
            </w:pPr>
            <w:r>
              <w:rPr/>
              <w:t> </w:t>
            </w:r>
          </w:p>
        </w:tc>
        <w:tc>
          <w:tcPr>
            <w:tcW w:w="47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w:t>
            </w:r>
          </w:p>
        </w:tc>
        <w:tc>
          <w:tcPr>
            <w:tcW w:w="80" w:type="dxa"/>
            <w:tcBorders/>
            <w:shd w:fill="CCEEFF" w:val="clear"/>
            <w:vAlign w:val="bottom"/>
          </w:tcPr>
          <w:p>
            <w:pPr>
              <w:pStyle w:val="TableContents"/>
              <w:bidi w:val="0"/>
              <w:spacing w:before="0" w:after="283"/>
              <w:jc w:val="left"/>
              <w:rPr/>
            </w:pPr>
            <w:r>
              <w:rPr/>
              <w:t> </w:t>
            </w:r>
          </w:p>
        </w:tc>
      </w:tr>
      <w:tr>
        <w:trPr/>
        <w:tc>
          <w:tcPr>
            <w:tcW w:w="4925"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Shares used in computing diluted net income (loss) per share</w:t>
            </w:r>
          </w:p>
        </w:tc>
        <w:tc>
          <w:tcPr>
            <w:tcW w:w="60" w:type="dxa"/>
            <w:tcBorders/>
            <w:vAlign w:val="bottom"/>
          </w:tcPr>
          <w:p>
            <w:pPr>
              <w:pStyle w:val="TableContents"/>
              <w:bidi w:val="0"/>
              <w:spacing w:before="0" w:after="283"/>
              <w:jc w:val="left"/>
              <w:rPr/>
            </w:pPr>
            <w:r>
              <w:rPr/>
              <w:t> </w:t>
            </w:r>
          </w:p>
        </w:tc>
        <w:tc>
          <w:tcPr>
            <w:tcW w:w="226" w:type="dxa"/>
            <w:tcBorders>
              <w:bottom w:val="single" w:sz="12" w:space="0" w:color="000000"/>
            </w:tcBorders>
            <w:tcMar>
              <w:bottom w:w="28" w:type="dxa"/>
            </w:tcMar>
            <w:vAlign w:val="bottom"/>
          </w:tcPr>
          <w:p>
            <w:pPr>
              <w:pStyle w:val="TableContents"/>
              <w:bidi w:val="0"/>
              <w:spacing w:before="0" w:after="283"/>
              <w:jc w:val="left"/>
              <w:rPr/>
            </w:pPr>
            <w:r>
              <w:rPr/>
              <w:t> </w:t>
            </w:r>
          </w:p>
        </w:tc>
        <w:tc>
          <w:tcPr>
            <w:tcW w:w="58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106"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166" w:type="dxa"/>
            <w:tcBorders>
              <w:bottom w:val="single" w:sz="12" w:space="0" w:color="000000"/>
            </w:tcBorders>
            <w:tcMar>
              <w:bottom w:w="28" w:type="dxa"/>
            </w:tcMar>
            <w:vAlign w:val="bottom"/>
          </w:tcPr>
          <w:p>
            <w:pPr>
              <w:pStyle w:val="TableContents"/>
              <w:bidi w:val="0"/>
              <w:spacing w:before="0" w:after="283"/>
              <w:jc w:val="left"/>
              <w:rPr/>
            </w:pPr>
            <w:r>
              <w:rPr/>
              <w:t> </w:t>
            </w:r>
          </w:p>
        </w:tc>
        <w:tc>
          <w:tcPr>
            <w:tcW w:w="505"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182</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165</w:t>
            </w:r>
          </w:p>
        </w:tc>
        <w:tc>
          <w:tcPr>
            <w:tcW w:w="86" w:type="dxa"/>
            <w:tcBorders/>
            <w:vAlign w:val="bottom"/>
          </w:tcPr>
          <w:p>
            <w:pPr>
              <w:pStyle w:val="TableContents"/>
              <w:bidi w:val="0"/>
              <w:spacing w:before="0" w:after="283"/>
              <w:jc w:val="left"/>
              <w:rPr/>
            </w:pPr>
            <w:r>
              <w:rPr/>
              <w:t> </w:t>
            </w:r>
          </w:p>
        </w:tc>
        <w:tc>
          <w:tcPr>
            <w:tcW w:w="65" w:type="dxa"/>
            <w:tcBorders/>
            <w:vAlign w:val="bottom"/>
          </w:tcPr>
          <w:p>
            <w:pPr>
              <w:pStyle w:val="TableContents"/>
              <w:bidi w:val="0"/>
              <w:spacing w:before="0" w:after="283"/>
              <w:jc w:val="left"/>
              <w:rPr/>
            </w:pPr>
            <w:r>
              <w:rPr/>
              <w:t> </w:t>
            </w:r>
          </w:p>
        </w:tc>
        <w:tc>
          <w:tcPr>
            <w:tcW w:w="184" w:type="dxa"/>
            <w:tcBorders>
              <w:bottom w:val="single" w:sz="12" w:space="0" w:color="000000"/>
            </w:tcBorders>
            <w:tcMar>
              <w:bottom w:w="28" w:type="dxa"/>
            </w:tcMar>
            <w:vAlign w:val="bottom"/>
          </w:tcPr>
          <w:p>
            <w:pPr>
              <w:pStyle w:val="TableContents"/>
              <w:bidi w:val="0"/>
              <w:spacing w:before="0" w:after="283"/>
              <w:jc w:val="left"/>
              <w:rPr/>
            </w:pPr>
            <w:r>
              <w:rPr/>
              <w:t> </w:t>
            </w:r>
          </w:p>
        </w:tc>
        <w:tc>
          <w:tcPr>
            <w:tcW w:w="47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159</w:t>
            </w:r>
          </w:p>
        </w:tc>
        <w:tc>
          <w:tcPr>
            <w:tcW w:w="8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7</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PHARMACEUTICALS, INC.</w:t>
      </w:r>
    </w:p>
    <w:p>
      <w:pPr>
        <w:pStyle w:val="TextBody"/>
        <w:bidi w:val="0"/>
        <w:spacing w:before="0" w:after="0"/>
        <w:jc w:val="left"/>
        <w:rPr>
          <w:color w:val="000000"/>
        </w:rPr>
      </w:pPr>
      <w:r>
        <w:rPr>
          <w:color w:val="000000"/>
        </w:rPr>
        <w:t>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Reconciliation of GAAP to Non-GAAP Basis:</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 xml:space="preserve">Condensed Consolidated Operating Expenses, Income (Loss) From Operations, and Net Income (Loss) </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(In Millions)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0" w:name="z59cf19c932db4dfeb0a09e3777a0ad16"/>
      <w:bookmarkStart w:id="81" w:name="z59cf19c932db4dfeb0a09e3777a0ad16"/>
      <w:bookmarkEnd w:id="81"/>
    </w:p>
    <w:tbl>
      <w:tblPr>
        <w:tblW w:w="9981" w:type="dxa"/>
        <w:jc w:val="left"/>
        <w:tblInd w:w="0" w:type="dxa"/>
        <w:tblLayout w:type="fixed"/>
        <w:tblCellMar>
          <w:top w:w="0" w:type="dxa"/>
          <w:left w:w="0" w:type="dxa"/>
          <w:bottom w:w="0" w:type="dxa"/>
          <w:right w:w="0" w:type="dxa"/>
        </w:tblCellMar>
      </w:tblPr>
      <w:tblGrid>
        <w:gridCol w:w="6560"/>
        <w:gridCol w:w="60"/>
        <w:gridCol w:w="243"/>
        <w:gridCol w:w="566"/>
        <w:gridCol w:w="114"/>
        <w:gridCol w:w="86"/>
        <w:gridCol w:w="179"/>
        <w:gridCol w:w="480"/>
        <w:gridCol w:w="80"/>
        <w:gridCol w:w="60"/>
        <w:gridCol w:w="207"/>
        <w:gridCol w:w="481"/>
        <w:gridCol w:w="97"/>
        <w:gridCol w:w="73"/>
        <w:gridCol w:w="207"/>
        <w:gridCol w:w="408"/>
        <w:gridCol w:w="80"/>
      </w:tblGrid>
      <w:tr>
        <w:trPr/>
        <w:tc>
          <w:tcPr>
            <w:tcW w:w="6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668"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Three months ended</w:t>
            </w:r>
          </w:p>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73" w:type="dxa"/>
            <w:gridSpan w:val="6"/>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Six months ended</w:t>
            </w:r>
          </w:p>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80" w:type="dxa"/>
            <w:tcBorders/>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114" w:type="dxa"/>
            <w:tcBorders>
              <w:bottom w:val="single" w:sz="12" w:space="0" w:color="000000"/>
            </w:tcBorders>
            <w:tcMar>
              <w:bottom w:w="28" w:type="dxa"/>
            </w:tcMar>
            <w:vAlign w:val="bottom"/>
          </w:tcPr>
          <w:p>
            <w:pPr>
              <w:pStyle w:val="TableContents"/>
              <w:bidi w:val="0"/>
              <w:spacing w:before="0" w:after="283"/>
              <w:jc w:val="left"/>
              <w:rPr/>
            </w:pPr>
            <w:r>
              <w:rPr/>
              <w:t> </w:t>
            </w:r>
          </w:p>
        </w:tc>
        <w:tc>
          <w:tcPr>
            <w:tcW w:w="86" w:type="dxa"/>
            <w:tcBorders>
              <w:bottom w:val="single" w:sz="12" w:space="0" w:color="000000"/>
            </w:tcBorders>
            <w:tcMar>
              <w:bottom w:w="28" w:type="dxa"/>
            </w:tcMar>
            <w:vAlign w:val="bottom"/>
          </w:tcPr>
          <w:p>
            <w:pPr>
              <w:pStyle w:val="TableContents"/>
              <w:bidi w:val="0"/>
              <w:spacing w:before="0" w:after="283"/>
              <w:jc w:val="left"/>
              <w:rPr/>
            </w:pPr>
            <w:r>
              <w:rPr/>
              <w:t> </w:t>
            </w:r>
          </w:p>
        </w:tc>
        <w:tc>
          <w:tcPr>
            <w:tcW w:w="65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80" w:type="dxa"/>
            <w:tcBorders>
              <w:bottom w:val="single" w:sz="12" w:space="0" w:color="000000"/>
            </w:tcBorders>
            <w:tcMar>
              <w:bottom w:w="28" w:type="dxa"/>
            </w:tcMar>
            <w:vAlign w:val="bottom"/>
          </w:tcPr>
          <w:p>
            <w:pPr>
              <w:pStyle w:val="TableContents"/>
              <w:bidi w:val="0"/>
              <w:spacing w:before="0" w:after="283"/>
              <w:jc w:val="left"/>
              <w:rPr/>
            </w:pPr>
            <w:r>
              <w:rPr/>
              <w:t> </w:t>
            </w:r>
          </w:p>
        </w:tc>
        <w:tc>
          <w:tcPr>
            <w:tcW w:w="60" w:type="dxa"/>
            <w:tcBorders>
              <w:bottom w:val="single" w:sz="12" w:space="0" w:color="000000"/>
            </w:tcBorders>
            <w:tcMar>
              <w:bottom w:w="28" w:type="dxa"/>
            </w:tcMar>
            <w:vAlign w:val="bottom"/>
          </w:tcPr>
          <w:p>
            <w:pPr>
              <w:pStyle w:val="TableContents"/>
              <w:bidi w:val="0"/>
              <w:spacing w:before="0" w:after="283"/>
              <w:jc w:val="left"/>
              <w:rPr/>
            </w:pPr>
            <w:r>
              <w:rPr/>
              <w:t> </w:t>
            </w:r>
          </w:p>
        </w:tc>
        <w:tc>
          <w:tcPr>
            <w:tcW w:w="688"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3" w:type="dxa"/>
            <w:tcBorders>
              <w:bottom w:val="single" w:sz="12" w:space="0" w:color="000000"/>
            </w:tcBorders>
            <w:tcMar>
              <w:bottom w:w="28" w:type="dxa"/>
            </w:tcMar>
            <w:vAlign w:val="bottom"/>
          </w:tcPr>
          <w:p>
            <w:pPr>
              <w:pStyle w:val="TableContents"/>
              <w:bidi w:val="0"/>
              <w:spacing w:before="0" w:after="283"/>
              <w:jc w:val="left"/>
              <w:rPr/>
            </w:pPr>
            <w:r>
              <w:rPr/>
              <w:t> </w:t>
            </w:r>
          </w:p>
        </w:tc>
        <w:tc>
          <w:tcPr>
            <w:tcW w:w="615"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80" w:type="dxa"/>
            <w:tcBorders/>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281" w:type="dxa"/>
            <w:gridSpan w:val="14"/>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(unaudited)</w:t>
            </w:r>
          </w:p>
        </w:tc>
        <w:tc>
          <w:tcPr>
            <w:tcW w:w="80" w:type="dxa"/>
            <w:tcBorders/>
            <w:vAlign w:val="bottom"/>
          </w:tcPr>
          <w:p>
            <w:pPr>
              <w:pStyle w:val="TableContents"/>
              <w:bidi w:val="0"/>
              <w:spacing w:before="0" w:after="283"/>
              <w:jc w:val="left"/>
              <w:rPr/>
            </w:pPr>
            <w:r>
              <w:rPr/>
              <w:t> </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 reported cost of sales according to GAAP</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Excluding compensation expense related to equity awards (1)</w:t>
            </w:r>
          </w:p>
        </w:tc>
        <w:tc>
          <w:tcPr>
            <w:tcW w:w="60"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5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4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80" w:type="dxa"/>
            <w:tcBorders/>
            <w:vAlign w:val="bottom"/>
          </w:tcPr>
          <w:p>
            <w:pPr>
              <w:pStyle w:val="TableContents"/>
              <w:bidi w:val="0"/>
              <w:spacing w:before="0" w:after="283"/>
              <w:jc w:val="left"/>
              <w:rPr/>
            </w:pPr>
            <w:r>
              <w:rPr/>
              <w:t> </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Non-GAAP cost of sales</w:t>
            </w:r>
          </w:p>
        </w:tc>
        <w:tc>
          <w:tcPr>
            <w:tcW w:w="60" w:type="dxa"/>
            <w:tcBorders/>
            <w:shd w:fill="CCEEFF" w:val="clear"/>
            <w:vAlign w:val="bottom"/>
          </w:tcPr>
          <w:p>
            <w:pPr>
              <w:pStyle w:val="TableContents"/>
              <w:bidi w:val="0"/>
              <w:spacing w:before="0" w:after="283"/>
              <w:jc w:val="left"/>
              <w:rPr/>
            </w:pPr>
            <w:r>
              <w:rPr/>
              <w:t> </w:t>
            </w:r>
          </w:p>
        </w:tc>
        <w:tc>
          <w:tcPr>
            <w:tcW w:w="24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 reported research, development and patent expenses according to GAAP</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217</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217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427</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418</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Excluding compensation expense related to equity awards</w:t>
            </w:r>
          </w:p>
        </w:tc>
        <w:tc>
          <w:tcPr>
            <w:tcW w:w="60"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5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(25</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4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(50</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Non-GAAP research, development and patent expenses</w:t>
            </w:r>
          </w:p>
        </w:tc>
        <w:tc>
          <w:tcPr>
            <w:tcW w:w="60" w:type="dxa"/>
            <w:tcBorders/>
            <w:shd w:fill="CCEEFF" w:val="clear"/>
            <w:vAlign w:val="bottom"/>
          </w:tcPr>
          <w:p>
            <w:pPr>
              <w:pStyle w:val="TableContents"/>
              <w:bidi w:val="0"/>
              <w:spacing w:before="0" w:after="283"/>
              <w:jc w:val="left"/>
              <w:rPr/>
            </w:pPr>
            <w:r>
              <w:rPr/>
              <w:t> </w:t>
            </w:r>
          </w:p>
        </w:tc>
        <w:tc>
          <w:tcPr>
            <w:tcW w:w="24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192</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197</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377</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378</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 reported selling, general and administrative expenses according to GAAP</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150</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91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301</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167</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Excluding compensation expense related to equity awards</w:t>
            </w:r>
          </w:p>
        </w:tc>
        <w:tc>
          <w:tcPr>
            <w:tcW w:w="60"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5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(20</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4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(39</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Non-GAAP selling, general and administrative expenses</w:t>
            </w:r>
          </w:p>
        </w:tc>
        <w:tc>
          <w:tcPr>
            <w:tcW w:w="60" w:type="dxa"/>
            <w:tcBorders/>
            <w:shd w:fill="CCEEFF" w:val="clear"/>
            <w:vAlign w:val="bottom"/>
          </w:tcPr>
          <w:p>
            <w:pPr>
              <w:pStyle w:val="TableContents"/>
              <w:bidi w:val="0"/>
              <w:spacing w:before="0" w:after="283"/>
              <w:jc w:val="left"/>
              <w:rPr/>
            </w:pPr>
            <w:r>
              <w:rPr/>
              <w:t> </w:t>
            </w:r>
          </w:p>
        </w:tc>
        <w:tc>
          <w:tcPr>
            <w:tcW w:w="24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130</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81</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148</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 reported operating expenses according to GAAP</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370</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312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734</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591</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Excluding compensation expense related to equity awards</w:t>
            </w:r>
          </w:p>
        </w:tc>
        <w:tc>
          <w:tcPr>
            <w:tcW w:w="60"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5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4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Non-GAAP operating expenses</w:t>
            </w:r>
          </w:p>
        </w:tc>
        <w:tc>
          <w:tcPr>
            <w:tcW w:w="60" w:type="dxa"/>
            <w:tcBorders/>
            <w:shd w:fill="CCEEFF" w:val="clear"/>
            <w:vAlign w:val="bottom"/>
          </w:tcPr>
          <w:p>
            <w:pPr>
              <w:pStyle w:val="TableContents"/>
              <w:bidi w:val="0"/>
              <w:spacing w:before="0" w:after="283"/>
              <w:jc w:val="left"/>
              <w:rPr/>
            </w:pPr>
            <w:r>
              <w:rPr/>
              <w:t> </w:t>
            </w:r>
          </w:p>
        </w:tc>
        <w:tc>
          <w:tcPr>
            <w:tcW w:w="24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5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325</w:t>
            </w:r>
          </w:p>
        </w:tc>
        <w:tc>
          <w:tcPr>
            <w:tcW w:w="114" w:type="dxa"/>
            <w:tcBorders/>
            <w:shd w:fill="CCEEFF" w:val="clear"/>
            <w:vAlign w:val="bottom"/>
          </w:tcPr>
          <w:p>
            <w:pPr>
              <w:pStyle w:val="TableContents"/>
              <w:bidi w:val="0"/>
              <w:spacing w:before="0" w:after="283"/>
              <w:jc w:val="left"/>
              <w:rPr/>
            </w:pPr>
            <w:r>
              <w:rPr/>
              <w:t> </w:t>
            </w:r>
          </w:p>
        </w:tc>
        <w:tc>
          <w:tcPr>
            <w:tcW w:w="86"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282</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645</w:t>
            </w:r>
          </w:p>
        </w:tc>
        <w:tc>
          <w:tcPr>
            <w:tcW w:w="97"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532</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 reported income (loss) from operations according to GAAP</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(102</w:t>
            </w:r>
          </w:p>
        </w:tc>
        <w:tc>
          <w:tcPr>
            <w:tcW w:w="1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140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(220</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56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Excluding compensation expense related to equity awards</w:t>
            </w:r>
          </w:p>
        </w:tc>
        <w:tc>
          <w:tcPr>
            <w:tcW w:w="60"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5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4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Non-GAAP income (loss) from operations</w:t>
            </w:r>
          </w:p>
        </w:tc>
        <w:tc>
          <w:tcPr>
            <w:tcW w:w="60" w:type="dxa"/>
            <w:tcBorders/>
            <w:shd w:fill="CCEEFF" w:val="clear"/>
            <w:vAlign w:val="bottom"/>
          </w:tcPr>
          <w:p>
            <w:pPr>
              <w:pStyle w:val="TableContents"/>
              <w:bidi w:val="0"/>
              <w:spacing w:before="0" w:after="283"/>
              <w:jc w:val="left"/>
              <w:rPr/>
            </w:pPr>
            <w:r>
              <w:rPr/>
              <w:t> </w:t>
            </w:r>
          </w:p>
        </w:tc>
        <w:tc>
          <w:tcPr>
            <w:tcW w:w="24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(57</w:t>
            </w:r>
          </w:p>
        </w:tc>
        <w:tc>
          <w:tcPr>
            <w:tcW w:w="1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170</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(131</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52</w:t>
            </w:r>
          </w:p>
        </w:tc>
        <w:tc>
          <w:tcPr>
            <w:tcW w:w="80" w:type="dxa"/>
            <w:tcBorders/>
            <w:shd w:fill="CCEEFF" w:val="clear"/>
            <w:vAlign w:val="bottom"/>
          </w:tcPr>
          <w:p>
            <w:pPr>
              <w:pStyle w:val="TableContents"/>
              <w:bidi w:val="0"/>
              <w:spacing w:before="0" w:after="283"/>
              <w:jc w:val="left"/>
              <w:rPr/>
            </w:pPr>
            <w:r>
              <w:rPr/>
              <w:t> </w:t>
            </w:r>
          </w:p>
        </w:tc>
      </w:tr>
      <w:tr>
        <w:trPr/>
        <w:tc>
          <w:tcPr>
            <w:tcW w:w="65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43"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 </w:t>
            </w:r>
          </w:p>
        </w:tc>
        <w:tc>
          <w:tcPr>
            <w:tcW w:w="114" w:type="dxa"/>
            <w:tcBorders/>
            <w:vAlign w:val="bottom"/>
          </w:tcPr>
          <w:p>
            <w:pPr>
              <w:pStyle w:val="TableContents"/>
              <w:bidi w:val="0"/>
              <w:spacing w:before="0" w:after="283"/>
              <w:jc w:val="left"/>
              <w:rPr/>
            </w:pPr>
            <w:r>
              <w:rPr/>
              <w:t> </w:t>
            </w:r>
          </w:p>
        </w:tc>
        <w:tc>
          <w:tcPr>
            <w:tcW w:w="86"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480"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81" w:type="dxa"/>
            <w:tcBorders/>
            <w:vAlign w:val="bottom"/>
          </w:tcPr>
          <w:p>
            <w:pPr>
              <w:pStyle w:val="TableContents"/>
              <w:bidi w:val="0"/>
              <w:spacing w:before="0" w:after="283"/>
              <w:jc w:val="right"/>
              <w:rPr/>
            </w:pPr>
            <w:r>
              <w:rPr/>
              <w:t> </w:t>
            </w:r>
          </w:p>
        </w:tc>
        <w:tc>
          <w:tcPr>
            <w:tcW w:w="97"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207" w:type="dxa"/>
            <w:tcBorders/>
            <w:vAlign w:val="bottom"/>
          </w:tcPr>
          <w:p>
            <w:pPr>
              <w:pStyle w:val="TableContents"/>
              <w:bidi w:val="0"/>
              <w:spacing w:before="0" w:after="283"/>
              <w:jc w:val="left"/>
              <w:rPr/>
            </w:pPr>
            <w:r>
              <w:rPr/>
              <w:t> </w:t>
            </w:r>
          </w:p>
        </w:tc>
        <w:tc>
          <w:tcPr>
            <w:tcW w:w="408" w:type="dxa"/>
            <w:tcBorders/>
            <w:vAlign w:val="bottom"/>
          </w:tcPr>
          <w:p>
            <w:pPr>
              <w:pStyle w:val="TableContents"/>
              <w:bidi w:val="0"/>
              <w:spacing w:before="0" w:after="283"/>
              <w:jc w:val="right"/>
              <w:rPr/>
            </w:pPr>
            <w:r>
              <w:rPr/>
              <w:t> </w:t>
            </w:r>
          </w:p>
        </w:tc>
        <w:tc>
          <w:tcPr>
            <w:tcW w:w="80" w:type="dxa"/>
            <w:tcBorders/>
            <w:vAlign w:val="bottom"/>
          </w:tcPr>
          <w:p>
            <w:pPr>
              <w:pStyle w:val="TableContents"/>
              <w:bidi w:val="0"/>
              <w:spacing w:before="0" w:after="283"/>
              <w:jc w:val="left"/>
              <w:rPr/>
            </w:pPr>
            <w:r>
              <w:rPr/>
              <w:t> </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As reported net income (loss) according to GAAP</w:t>
            </w:r>
          </w:p>
        </w:tc>
        <w:tc>
          <w:tcPr>
            <w:tcW w:w="60" w:type="dxa"/>
            <w:tcBorders/>
            <w:shd w:fill="CCEEFF" w:val="clear"/>
            <w:vAlign w:val="bottom"/>
          </w:tcPr>
          <w:p>
            <w:pPr>
              <w:pStyle w:val="TableContents"/>
              <w:bidi w:val="0"/>
              <w:spacing w:before="0" w:after="283"/>
              <w:jc w:val="left"/>
              <w:rPr/>
            </w:pPr>
            <w:r>
              <w:rPr/>
              <w:t> </w:t>
            </w:r>
          </w:p>
        </w:tc>
        <w:tc>
          <w:tcPr>
            <w:tcW w:w="24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66"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(115</w:t>
            </w:r>
          </w:p>
        </w:tc>
        <w:tc>
          <w:tcPr>
            <w:tcW w:w="1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124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81"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(207</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20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0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w:t>
            </w:r>
          </w:p>
        </w:tc>
        <w:tc>
          <w:tcPr>
            <w:tcW w:w="80"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56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Excluding compensation expense related to equity awards and related tax effects</w:t>
            </w:r>
          </w:p>
        </w:tc>
        <w:tc>
          <w:tcPr>
            <w:tcW w:w="60" w:type="dxa"/>
            <w:tcBorders/>
            <w:vAlign w:val="bottom"/>
          </w:tcPr>
          <w:p>
            <w:pPr>
              <w:pStyle w:val="TableContents"/>
              <w:bidi w:val="0"/>
              <w:spacing w:before="0" w:after="283"/>
              <w:jc w:val="left"/>
              <w:rPr/>
            </w:pPr>
            <w:r>
              <w:rPr/>
              <w:t> </w:t>
            </w:r>
          </w:p>
        </w:tc>
        <w:tc>
          <w:tcPr>
            <w:tcW w:w="243" w:type="dxa"/>
            <w:tcBorders>
              <w:bottom w:val="single" w:sz="12" w:space="0" w:color="000000"/>
            </w:tcBorders>
            <w:tcMar>
              <w:bottom w:w="28" w:type="dxa"/>
            </w:tcMar>
            <w:vAlign w:val="bottom"/>
          </w:tcPr>
          <w:p>
            <w:pPr>
              <w:pStyle w:val="TableContents"/>
              <w:bidi w:val="0"/>
              <w:spacing w:before="0" w:after="283"/>
              <w:jc w:val="left"/>
              <w:rPr/>
            </w:pPr>
            <w:r>
              <w:rPr/>
              <w:t> </w:t>
            </w:r>
          </w:p>
        </w:tc>
        <w:tc>
          <w:tcPr>
            <w:tcW w:w="566"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(45</w:t>
            </w:r>
          </w:p>
        </w:tc>
        <w:tc>
          <w:tcPr>
            <w:tcW w:w="11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vAlign w:val="bottom"/>
          </w:tcPr>
          <w:p>
            <w:pPr>
              <w:pStyle w:val="TableContents"/>
              <w:bidi w:val="0"/>
              <w:spacing w:before="0" w:after="283"/>
              <w:jc w:val="left"/>
              <w:rPr/>
            </w:pPr>
            <w:r>
              <w:rPr/>
              <w:t> </w:t>
            </w:r>
          </w:p>
        </w:tc>
        <w:tc>
          <w:tcPr>
            <w:tcW w:w="179" w:type="dxa"/>
            <w:tcBorders>
              <w:bottom w:val="single" w:sz="12" w:space="0" w:color="000000"/>
            </w:tcBorders>
            <w:tcMar>
              <w:bottom w:w="28" w:type="dxa"/>
            </w:tcMar>
            <w:vAlign w:val="bottom"/>
          </w:tcPr>
          <w:p>
            <w:pPr>
              <w:pStyle w:val="TableContents"/>
              <w:bidi w:val="0"/>
              <w:spacing w:before="0" w:after="283"/>
              <w:jc w:val="left"/>
              <w:rPr/>
            </w:pPr>
            <w:r>
              <w:rPr/>
              <w:t> </w:t>
            </w:r>
          </w:p>
        </w:tc>
        <w:tc>
          <w:tcPr>
            <w:tcW w:w="480"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(30</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60"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81"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(89</w:t>
            </w:r>
          </w:p>
        </w:tc>
        <w:tc>
          <w:tcPr>
            <w:tcW w:w="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vAlign w:val="bottom"/>
          </w:tcPr>
          <w:p>
            <w:pPr>
              <w:pStyle w:val="TableContents"/>
              <w:bidi w:val="0"/>
              <w:spacing w:before="0" w:after="283"/>
              <w:jc w:val="left"/>
              <w:rPr/>
            </w:pPr>
            <w:r>
              <w:rPr/>
              <w:t> </w:t>
            </w:r>
          </w:p>
        </w:tc>
        <w:tc>
          <w:tcPr>
            <w:tcW w:w="207" w:type="dxa"/>
            <w:tcBorders>
              <w:bottom w:val="single" w:sz="12" w:space="0" w:color="000000"/>
            </w:tcBorders>
            <w:tcMar>
              <w:bottom w:w="28" w:type="dxa"/>
            </w:tcMar>
            <w:vAlign w:val="bottom"/>
          </w:tcPr>
          <w:p>
            <w:pPr>
              <w:pStyle w:val="TableContents"/>
              <w:bidi w:val="0"/>
              <w:spacing w:before="0" w:after="283"/>
              <w:jc w:val="left"/>
              <w:rPr/>
            </w:pPr>
            <w:r>
              <w:rPr/>
              <w:t> </w:t>
            </w:r>
          </w:p>
        </w:tc>
        <w:tc>
          <w:tcPr>
            <w:tcW w:w="40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80"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r>
      <w:tr>
        <w:trPr/>
        <w:tc>
          <w:tcPr>
            <w:tcW w:w="6560" w:type="dxa"/>
            <w:tcBorders/>
            <w:shd w:fill="CCEEFF" w:val="clear"/>
            <w:vAlign w:val="bottom"/>
          </w:tcPr>
          <w:p>
            <w:pPr>
              <w:pStyle w:val="TableContents"/>
              <w:bidi w:val="0"/>
              <w:spacing w:before="0" w:after="0"/>
              <w:ind w:left="144" w:right="0" w:hanging="144"/>
              <w:jc w:val="left"/>
              <w:rPr>
                <w:rFonts w:ascii="Times New Roman" w:hAnsi="Times New Roman"/>
                <w:b/>
                <w:sz w:val="20"/>
              </w:rPr>
            </w:pPr>
            <w:r>
              <w:rPr>
                <w:rFonts w:ascii="Times New Roman" w:hAnsi="Times New Roman"/>
                <w:b/>
                <w:sz w:val="20"/>
              </w:rPr>
              <w:t>Non-GAAP net income (loss)</w:t>
            </w:r>
          </w:p>
        </w:tc>
        <w:tc>
          <w:tcPr>
            <w:tcW w:w="60" w:type="dxa"/>
            <w:tcBorders/>
            <w:shd w:fill="CCEEFF" w:val="clear"/>
            <w:vAlign w:val="bottom"/>
          </w:tcPr>
          <w:p>
            <w:pPr>
              <w:pStyle w:val="TableContents"/>
              <w:bidi w:val="0"/>
              <w:spacing w:before="0" w:after="283"/>
              <w:jc w:val="left"/>
              <w:rPr/>
            </w:pPr>
            <w:r>
              <w:rPr/>
              <w:t> </w:t>
            </w:r>
          </w:p>
        </w:tc>
        <w:tc>
          <w:tcPr>
            <w:tcW w:w="243"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566"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(70</w:t>
            </w:r>
          </w:p>
        </w:tc>
        <w:tc>
          <w:tcPr>
            <w:tcW w:w="114"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6" w:type="dxa"/>
            <w:tcBorders/>
            <w:shd w:fill="CCEEFF" w:val="clear"/>
            <w:vAlign w:val="bottom"/>
          </w:tcPr>
          <w:p>
            <w:pPr>
              <w:pStyle w:val="TableContents"/>
              <w:bidi w:val="0"/>
              <w:spacing w:before="0" w:after="283"/>
              <w:jc w:val="left"/>
              <w:rPr/>
            </w:pPr>
            <w:r>
              <w:rPr/>
              <w:t> </w:t>
            </w:r>
          </w:p>
        </w:tc>
        <w:tc>
          <w:tcPr>
            <w:tcW w:w="179"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80"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154</w:t>
            </w:r>
          </w:p>
        </w:tc>
        <w:tc>
          <w:tcPr>
            <w:tcW w:w="8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 </w:t>
            </w:r>
          </w:p>
        </w:tc>
        <w:tc>
          <w:tcPr>
            <w:tcW w:w="481"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(118</w:t>
            </w:r>
          </w:p>
        </w:tc>
        <w:tc>
          <w:tcPr>
            <w:tcW w:w="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3" w:type="dxa"/>
            <w:tcBorders/>
            <w:shd w:fill="CCEEFF" w:val="clear"/>
            <w:vAlign w:val="bottom"/>
          </w:tcPr>
          <w:p>
            <w:pPr>
              <w:pStyle w:val="TableContents"/>
              <w:bidi w:val="0"/>
              <w:spacing w:before="0" w:after="283"/>
              <w:jc w:val="left"/>
              <w:rPr/>
            </w:pPr>
            <w:r>
              <w:rPr/>
              <w:t> </w:t>
            </w:r>
          </w:p>
        </w:tc>
        <w:tc>
          <w:tcPr>
            <w:tcW w:w="20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40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36</w:t>
            </w:r>
          </w:p>
        </w:tc>
        <w:tc>
          <w:tcPr>
            <w:tcW w:w="80"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2" w:name="z88c1b037213e43ebaa7b9bdb47a77360"/>
      <w:bookmarkStart w:id="83" w:name="z88c1b037213e43ebaa7b9bdb47a77360"/>
      <w:bookmarkEnd w:id="83"/>
    </w:p>
    <w:tbl>
      <w:tblPr>
        <w:tblW w:w="4600" w:type="dxa"/>
        <w:jc w:val="left"/>
        <w:tblInd w:w="0" w:type="dxa"/>
        <w:tblLayout w:type="fixed"/>
        <w:tblCellMar>
          <w:top w:w="0" w:type="dxa"/>
          <w:left w:w="0" w:type="dxa"/>
          <w:bottom w:w="0" w:type="dxa"/>
          <w:right w:w="0" w:type="dxa"/>
        </w:tblCellMar>
      </w:tblPr>
      <w:tblGrid>
        <w:gridCol w:w="75"/>
        <w:gridCol w:w="245"/>
        <w:gridCol w:w="428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42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Amounts appear as zero due to rounding in millions.</w:t>
            </w:r>
          </w:p>
        </w:tc>
      </w:tr>
    </w:tbl>
    <w:p>
      <w:pPr>
        <w:pStyle w:val="TextBody"/>
        <w:bidi w:val="0"/>
        <w:spacing w:before="0" w:after="0"/>
        <w:jc w:val="left"/>
        <w:rPr>
          <w:color w:val="000000"/>
        </w:rPr>
      </w:pPr>
      <w:r>
        <w:rPr>
          <w:color w:val="000000"/>
        </w:rPr>
        <w:t> </w:t>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8</w:t>
      </w:r>
    </w:p>
    <w:p>
      <w:pPr>
        <w:pStyle w:val="HorizontalLine"/>
        <w:pBdr>
          <w:bottom w:val="single" w:sz="12" w:space="0" w:color="808080"/>
        </w:pBdr>
        <w:bidi w:val="0"/>
        <w:spacing w:before="200" w:after="200"/>
        <w:jc w:val="left"/>
        <w:rPr/>
      </w:pPr>
      <w:r>
        <w:rPr/>
      </w:r>
    </w:p>
    <w:p>
      <w:pPr>
        <w:pStyle w:val="TextBody"/>
        <w:bidi w:val="0"/>
        <w:spacing w:before="0" w:after="0"/>
        <w:jc w:val="left"/>
        <w:rPr>
          <w:rFonts w:ascii="Times New Roman" w:hAnsi="Times New Roman"/>
          <w:b/>
          <w:color w:val="000000"/>
          <w:sz w:val="20"/>
          <w:u w:val="single"/>
        </w:rPr>
      </w:pPr>
      <w:r>
        <w:rPr>
          <w:rFonts w:ascii="Times New Roman" w:hAnsi="Times New Roman"/>
          <w:b/>
          <w:color w:val="000000"/>
          <w:sz w:val="20"/>
          <w:u w:val="single"/>
        </w:rPr>
        <w:t>Reconciliation of GAAP to Non-GAAP Basis</w:t>
      </w:r>
    </w:p>
    <w:p>
      <w:pPr>
        <w:pStyle w:val="TextBody"/>
        <w:bidi w:val="0"/>
        <w:spacing w:before="0" w:after="0"/>
        <w:jc w:val="left"/>
        <w:rPr>
          <w:color w:val="000000"/>
        </w:rPr>
      </w:pPr>
      <w:r>
        <w:rPr>
          <w:color w:val="000000"/>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As illustrated in the Selected Financial Information in this press release, non-GAAP operating expenses, non-GAAP income (loss) from operations, and non-GAAP net income (loss) were adjusted from GAAP to exclude compensation expense related to equity awards and the related tax effects. Compensation expense related to equity awards are non-cash. These measures are provided as supplementary information and are not a substitute for financial measures calculated in accordance with GAAP. Ionis reports these non-GAAP results to better enable financial statement users to assess and compare its historical performance and project its future operating results and cash flows. Further, the presentation of Ionis’ non-GAAP results is consistent with how Ionis’ management internally evaluates the performance of its operations.</w:t>
      </w:r>
    </w:p>
    <w:p>
      <w:pPr>
        <w:pStyle w:val="TextBody"/>
        <w:bidi w:val="0"/>
        <w:spacing w:before="0" w:after="0"/>
        <w:jc w:val="both"/>
        <w:rPr>
          <w:rFonts w:ascii="Times New Roman" w:hAnsi="Times New Roman"/>
          <w:sz w:val="20"/>
        </w:rPr>
      </w:pPr>
      <w:r>
        <w:rPr>
          <w:rFonts w:ascii="Times New Roman" w:hAnsi="Times New Roman"/>
          <w:sz w:val="20"/>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9</w:t>
      </w:r>
    </w:p>
    <w:p>
      <w:pPr>
        <w:pStyle w:val="HorizontalLine"/>
        <w:pBdr>
          <w:bottom w:val="single" w:sz="12" w:space="0" w:color="808080"/>
        </w:pBdr>
        <w:bidi w:val="0"/>
        <w:spacing w:before="200" w:after="200"/>
        <w:jc w:val="left"/>
        <w:rPr/>
      </w:pPr>
      <w:r>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IONIS PHARMACEUTICALS, INC.</w:t>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Condensed Consolidated Balance Sheets</w:t>
      </w:r>
    </w:p>
    <w:p>
      <w:pPr>
        <w:pStyle w:val="TextBody"/>
        <w:bidi w:val="0"/>
        <w:spacing w:before="0" w:after="0"/>
        <w:ind w:left="30" w:right="0" w:hanging="0"/>
        <w:jc w:val="center"/>
        <w:rPr>
          <w:rFonts w:ascii="Times New Roman" w:hAnsi="Times New Roman"/>
          <w:b/>
          <w:color w:val="000000"/>
          <w:sz w:val="20"/>
        </w:rPr>
      </w:pPr>
      <w:r>
        <w:rPr>
          <w:rFonts w:ascii="Times New Roman" w:hAnsi="Times New Roman"/>
          <w:b/>
          <w:color w:val="000000"/>
          <w:sz w:val="20"/>
        </w:rPr>
        <w:t>(In Millions)</w:t>
      </w:r>
    </w:p>
    <w:p>
      <w:pPr>
        <w:pStyle w:val="TextBody"/>
        <w:bidi w:val="0"/>
        <w:spacing w:before="0" w:after="0"/>
        <w:jc w:val="left"/>
        <w:rPr/>
      </w:pPr>
      <w:r>
        <w:rPr/>
      </w:r>
    </w:p>
    <w:p>
      <w:pPr>
        <w:pStyle w:val="Normal"/>
        <w:bidi w:val="0"/>
        <w:spacing w:before="0" w:after="0"/>
        <w:jc w:val="left"/>
        <w:rPr>
          <w:sz w:val="4"/>
          <w:szCs w:val="4"/>
        </w:rPr>
      </w:pPr>
      <w:r>
        <w:rPr>
          <w:sz w:val="4"/>
          <w:szCs w:val="4"/>
        </w:rPr>
      </w:r>
      <w:bookmarkStart w:id="84" w:name="zef26a524c00346d2a6326b608943672f"/>
      <w:bookmarkStart w:id="85" w:name="zef26a524c00346d2a6326b608943672f"/>
      <w:bookmarkEnd w:id="85"/>
    </w:p>
    <w:tbl>
      <w:tblPr>
        <w:tblW w:w="7003" w:type="dxa"/>
        <w:jc w:val="left"/>
        <w:tblInd w:w="0" w:type="dxa"/>
        <w:tblLayout w:type="fixed"/>
        <w:tblCellMar>
          <w:top w:w="0" w:type="dxa"/>
          <w:left w:w="0" w:type="dxa"/>
          <w:bottom w:w="0" w:type="dxa"/>
          <w:right w:w="0" w:type="dxa"/>
        </w:tblCellMar>
      </w:tblPr>
      <w:tblGrid>
        <w:gridCol w:w="4670"/>
        <w:gridCol w:w="60"/>
        <w:gridCol w:w="197"/>
        <w:gridCol w:w="767"/>
        <w:gridCol w:w="60"/>
        <w:gridCol w:w="60"/>
        <w:gridCol w:w="231"/>
        <w:gridCol w:w="898"/>
        <w:gridCol w:w="60"/>
      </w:tblGrid>
      <w:tr>
        <w:trPr/>
        <w:tc>
          <w:tcPr>
            <w:tcW w:w="4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June 30,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December 31,</w:t>
            </w:r>
          </w:p>
        </w:tc>
        <w:tc>
          <w:tcPr>
            <w:tcW w:w="60" w:type="dxa"/>
            <w:tcBorders/>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bottom w:val="single" w:sz="12" w:space="0" w:color="000000"/>
            </w:tcBorders>
            <w:tcMar>
              <w:bottom w:w="28" w:type="dxa"/>
            </w:tcMar>
            <w:vAlign w:val="bottom"/>
          </w:tcPr>
          <w:p>
            <w:pPr>
              <w:pStyle w:val="TableContents"/>
              <w:bidi w:val="0"/>
              <w:spacing w:before="0" w:after="0"/>
              <w:jc w:val="center"/>
              <w:rPr>
                <w:rFonts w:ascii="Times New Roman" w:hAnsi="Times New Roman"/>
                <w:sz w:val="20"/>
              </w:rPr>
            </w:pPr>
            <w:r>
              <w:rPr>
                <w:rFonts w:ascii="Times New Roman" w:hAnsi="Times New Roman"/>
                <w:sz w:val="20"/>
              </w:rPr>
              <w:t>2025</w:t>
            </w:r>
          </w:p>
        </w:tc>
        <w:tc>
          <w:tcPr>
            <w:tcW w:w="60" w:type="dxa"/>
            <w:tcBorders/>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0"/>
              <w:jc w:val="center"/>
              <w:rPr>
                <w:rFonts w:ascii="Times New Roman" w:hAnsi="Times New Roman"/>
                <w:sz w:val="20"/>
              </w:rPr>
            </w:pPr>
            <w:r>
              <w:rPr>
                <w:rFonts w:ascii="Times New Roman" w:hAnsi="Times New Roman"/>
                <w:sz w:val="20"/>
              </w:rPr>
              <w:t>(unaudited)</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Assets:</w:t>
            </w:r>
          </w:p>
        </w:tc>
        <w:tc>
          <w:tcPr>
            <w:tcW w:w="60" w:type="dxa"/>
            <w:tcBorders/>
            <w:vAlign w:val="bottom"/>
          </w:tcPr>
          <w:p>
            <w:pPr>
              <w:pStyle w:val="TableContents"/>
              <w:bidi w:val="0"/>
              <w:spacing w:before="0" w:after="283"/>
              <w:jc w:val="left"/>
              <w:rPr/>
            </w:pPr>
            <w:r>
              <w:rPr/>
              <w:t> </w:t>
            </w:r>
          </w:p>
        </w:tc>
        <w:tc>
          <w:tcPr>
            <w:tcW w:w="964"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9"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Cash, cash equivalents and short-term investments</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2,055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2,677</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Contracts receivable</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66</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current assets</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378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247</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Property, plant and equipment, net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155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123</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Right-of-use assets</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239</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assets</w:t>
            </w:r>
          </w:p>
        </w:tc>
        <w:tc>
          <w:tcPr>
            <w:tcW w:w="60" w:type="dxa"/>
            <w:tcBorders/>
            <w:vAlign w:val="bottom"/>
          </w:tcPr>
          <w:p>
            <w:pPr>
              <w:pStyle w:val="TableContents"/>
              <w:bidi w:val="0"/>
              <w:spacing w:before="0" w:after="283"/>
              <w:jc w:val="left"/>
              <w:rPr/>
            </w:pPr>
            <w:r>
              <w:rPr/>
              <w:t> </w:t>
            </w:r>
          </w:p>
        </w:tc>
        <w:tc>
          <w:tcPr>
            <w:tcW w:w="197" w:type="dxa"/>
            <w:tcBorders>
              <w:bottom w:val="single" w:sz="12" w:space="0" w:color="000000"/>
            </w:tcBorders>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116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bottom w:val="single" w:sz="12" w:space="0" w:color="000000"/>
            </w:tcBorders>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172</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assets</w:t>
            </w:r>
          </w:p>
        </w:tc>
        <w:tc>
          <w:tcPr>
            <w:tcW w:w="60" w:type="dxa"/>
            <w:tcBorders/>
            <w:shd w:fill="CCEEFF" w:val="clear"/>
            <w:vAlign w:val="bottom"/>
          </w:tcPr>
          <w:p>
            <w:pPr>
              <w:pStyle w:val="TableContents"/>
              <w:bidi w:val="0"/>
              <w:spacing w:before="0" w:after="283"/>
              <w:jc w:val="left"/>
              <w:rPr/>
            </w:pPr>
            <w:r>
              <w:rPr/>
              <w:t> </w:t>
            </w:r>
          </w:p>
        </w:tc>
        <w:tc>
          <w:tcPr>
            <w:tcW w:w="197"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2,995</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bottom w:val="double" w:sz="8" w:space="0" w:color="000000"/>
            </w:tcBorders>
            <w:shd w:fill="CCEEFF" w:val="clear"/>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bottom w:val="double" w:sz="8"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3,524</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144" w:right="0" w:hanging="144"/>
              <w:jc w:val="left"/>
              <w:rPr>
                <w:rFonts w:ascii="Times New Roman" w:hAnsi="Times New Roman"/>
                <w:sz w:val="20"/>
              </w:rPr>
            </w:pPr>
            <w:r>
              <w:rPr>
                <w:rFonts w:ascii="Times New Roman" w:hAnsi="Times New Roman"/>
                <w:sz w:val="20"/>
              </w:rPr>
              <w:t>Liabilities and stockholders’ equity:</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Current portion of deferred contract revenue</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74</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0% convertible senior notes due April 2026, net – current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432</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Other current liabilities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242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277</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0% convertible senior notes due 2030, net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751</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1.75% convertible senior notes due 2028, net</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568</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Liability related to sale of future royalties, net</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563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551</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Long-term lease liabilities</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262</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Long-term obligations, less current portion</w:t>
            </w:r>
          </w:p>
        </w:tc>
        <w:tc>
          <w:tcPr>
            <w:tcW w:w="60" w:type="dxa"/>
            <w:tcBorders/>
            <w:shd w:fill="CCEEFF" w:val="clear"/>
            <w:vAlign w:val="bottom"/>
          </w:tcPr>
          <w:p>
            <w:pPr>
              <w:pStyle w:val="TableContents"/>
              <w:bidi w:val="0"/>
              <w:spacing w:before="0" w:after="283"/>
              <w:jc w:val="left"/>
              <w:rPr/>
            </w:pPr>
            <w:r>
              <w:rPr/>
              <w:t> </w:t>
            </w:r>
          </w:p>
        </w:tc>
        <w:tc>
          <w:tcPr>
            <w:tcW w:w="197" w:type="dxa"/>
            <w:tcBorders/>
            <w:shd w:fill="CCEEFF" w:val="clear"/>
            <w:vAlign w:val="bottom"/>
          </w:tcPr>
          <w:p>
            <w:pPr>
              <w:pStyle w:val="TableContents"/>
              <w:bidi w:val="0"/>
              <w:spacing w:before="0" w:after="283"/>
              <w:jc w:val="left"/>
              <w:rPr/>
            </w:pPr>
            <w:r>
              <w:rPr/>
              <w:t> </w:t>
            </w:r>
          </w:p>
        </w:tc>
        <w:tc>
          <w:tcPr>
            <w:tcW w:w="767"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898" w:type="dxa"/>
            <w:tcBorders/>
            <w:shd w:fill="CCEEFF" w:val="clear"/>
            <w:vAlign w:val="bottom"/>
          </w:tcPr>
          <w:p>
            <w:pPr>
              <w:pStyle w:val="TableContents"/>
              <w:bidi w:val="0"/>
              <w:spacing w:before="0" w:after="0"/>
              <w:jc w:val="right"/>
              <w:rPr>
                <w:rFonts w:ascii="Times New Roman" w:hAnsi="Times New Roman"/>
                <w:sz w:val="20"/>
              </w:rPr>
            </w:pPr>
            <w:r>
              <w:rPr>
                <w:rFonts w:ascii="Times New Roman" w:hAnsi="Times New Roman"/>
                <w:sz w:val="20"/>
              </w:rPr>
              <w:t>28</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Long-term deferred contract revenue</w:t>
            </w:r>
          </w:p>
        </w:tc>
        <w:tc>
          <w:tcPr>
            <w:tcW w:w="60" w:type="dxa"/>
            <w:tcBorders/>
            <w:vAlign w:val="bottom"/>
          </w:tcPr>
          <w:p>
            <w:pPr>
              <w:pStyle w:val="TableContents"/>
              <w:bidi w:val="0"/>
              <w:spacing w:before="0" w:after="283"/>
              <w:jc w:val="left"/>
              <w:rPr/>
            </w:pPr>
            <w:r>
              <w:rPr/>
              <w:t> </w:t>
            </w:r>
          </w:p>
        </w:tc>
        <w:tc>
          <w:tcPr>
            <w:tcW w:w="197" w:type="dxa"/>
            <w:tcBorders/>
            <w:vAlign w:val="bottom"/>
          </w:tcPr>
          <w:p>
            <w:pPr>
              <w:pStyle w:val="TableContents"/>
              <w:bidi w:val="0"/>
              <w:spacing w:before="0" w:after="283"/>
              <w:jc w:val="left"/>
              <w:rPr/>
            </w:pPr>
            <w:r>
              <w:rPr/>
              <w:t> </w:t>
            </w:r>
          </w:p>
        </w:tc>
        <w:tc>
          <w:tcPr>
            <w:tcW w:w="767"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63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898" w:type="dxa"/>
            <w:tcBorders/>
            <w:vAlign w:val="bottom"/>
          </w:tcPr>
          <w:p>
            <w:pPr>
              <w:pStyle w:val="TableContents"/>
              <w:bidi w:val="0"/>
              <w:spacing w:before="0" w:after="0"/>
              <w:jc w:val="right"/>
              <w:rPr>
                <w:rFonts w:ascii="Times New Roman" w:hAnsi="Times New Roman"/>
                <w:sz w:val="20"/>
              </w:rPr>
            </w:pPr>
            <w:r>
              <w:rPr>
                <w:rFonts w:ascii="Times New Roman" w:hAnsi="Times New Roman"/>
                <w:sz w:val="20"/>
              </w:rPr>
              <w:t>92</w:t>
            </w:r>
          </w:p>
        </w:tc>
        <w:tc>
          <w:tcPr>
            <w:tcW w:w="60" w:type="dxa"/>
            <w:tcBorders/>
            <w:vAlign w:val="bottom"/>
          </w:tcPr>
          <w:p>
            <w:pPr>
              <w:pStyle w:val="TableContents"/>
              <w:bidi w:val="0"/>
              <w:spacing w:before="0" w:after="283"/>
              <w:jc w:val="left"/>
              <w:rPr/>
            </w:pPr>
            <w:r>
              <w:rPr/>
              <w:t> </w:t>
            </w:r>
          </w:p>
        </w:tc>
      </w:tr>
      <w:tr>
        <w:trPr/>
        <w:tc>
          <w:tcPr>
            <w:tcW w:w="4670" w:type="dxa"/>
            <w:tcBorders/>
            <w:shd w:fill="CCEEFF" w:val="clear"/>
            <w:vAlign w:val="bottom"/>
          </w:tcPr>
          <w:p>
            <w:pPr>
              <w:pStyle w:val="TableContents"/>
              <w:bidi w:val="0"/>
              <w:spacing w:before="0" w:after="0"/>
              <w:ind w:left="324" w:right="0" w:hanging="144"/>
              <w:jc w:val="left"/>
              <w:rPr>
                <w:rFonts w:ascii="Times New Roman" w:hAnsi="Times New Roman"/>
                <w:sz w:val="20"/>
              </w:rPr>
            </w:pPr>
            <w:r>
              <w:rPr>
                <w:rFonts w:ascii="Times New Roman" w:hAnsi="Times New Roman"/>
                <w:sz w:val="20"/>
              </w:rPr>
              <w:t>Total stockholders’ equity</w:t>
            </w:r>
          </w:p>
        </w:tc>
        <w:tc>
          <w:tcPr>
            <w:tcW w:w="60" w:type="dxa"/>
            <w:tcBorders/>
            <w:shd w:fill="CCEEFF" w:val="clear"/>
            <w:vAlign w:val="bottom"/>
          </w:tcPr>
          <w:p>
            <w:pPr>
              <w:pStyle w:val="TableContents"/>
              <w:bidi w:val="0"/>
              <w:spacing w:before="0" w:after="283"/>
              <w:jc w:val="left"/>
              <w:rPr/>
            </w:pPr>
            <w:r>
              <w:rPr/>
              <w:t> </w:t>
            </w:r>
          </w:p>
        </w:tc>
        <w:tc>
          <w:tcPr>
            <w:tcW w:w="197"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767"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440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31" w:type="dxa"/>
            <w:tcBorders>
              <w:bottom w:val="single" w:sz="12" w:space="0" w:color="000000"/>
            </w:tcBorders>
            <w:shd w:fill="CCEEFF" w:val="clear"/>
            <w:tcMar>
              <w:bottom w:w="28" w:type="dxa"/>
            </w:tcMar>
            <w:vAlign w:val="bottom"/>
          </w:tcPr>
          <w:p>
            <w:pPr>
              <w:pStyle w:val="TableContents"/>
              <w:bidi w:val="0"/>
              <w:spacing w:before="0" w:after="283"/>
              <w:jc w:val="left"/>
              <w:rPr/>
            </w:pPr>
            <w:r>
              <w:rPr/>
              <w:t> </w:t>
            </w:r>
          </w:p>
        </w:tc>
        <w:tc>
          <w:tcPr>
            <w:tcW w:w="898" w:type="dxa"/>
            <w:tcBorders>
              <w:bottom w:val="single" w:sz="12" w:space="0" w:color="000000"/>
            </w:tcBorders>
            <w:shd w:fill="CCEEFF" w:val="clear"/>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489</w:t>
            </w:r>
          </w:p>
        </w:tc>
        <w:tc>
          <w:tcPr>
            <w:tcW w:w="60" w:type="dxa"/>
            <w:tcBorders/>
            <w:shd w:fill="CCEEFF" w:val="clear"/>
            <w:vAlign w:val="bottom"/>
          </w:tcPr>
          <w:p>
            <w:pPr>
              <w:pStyle w:val="TableContents"/>
              <w:bidi w:val="0"/>
              <w:spacing w:before="0" w:after="283"/>
              <w:jc w:val="left"/>
              <w:rPr/>
            </w:pPr>
            <w:r>
              <w:rPr/>
              <w:t> </w:t>
            </w:r>
          </w:p>
        </w:tc>
      </w:tr>
      <w:tr>
        <w:trPr/>
        <w:tc>
          <w:tcPr>
            <w:tcW w:w="4670" w:type="dxa"/>
            <w:tcBorders/>
            <w:vAlign w:val="bottom"/>
          </w:tcPr>
          <w:p>
            <w:pPr>
              <w:pStyle w:val="TableContents"/>
              <w:bidi w:val="0"/>
              <w:spacing w:before="0" w:after="0"/>
              <w:ind w:left="504" w:right="0" w:hanging="144"/>
              <w:jc w:val="left"/>
              <w:rPr>
                <w:rFonts w:ascii="Times New Roman" w:hAnsi="Times New Roman"/>
                <w:sz w:val="20"/>
              </w:rPr>
            </w:pPr>
            <w:r>
              <w:rPr>
                <w:rFonts w:ascii="Times New Roman" w:hAnsi="Times New Roman"/>
                <w:sz w:val="20"/>
              </w:rPr>
              <w:t>Total liabilities and stockholders’ equity</w:t>
            </w:r>
          </w:p>
        </w:tc>
        <w:tc>
          <w:tcPr>
            <w:tcW w:w="60" w:type="dxa"/>
            <w:tcBorders/>
            <w:vAlign w:val="bottom"/>
          </w:tcPr>
          <w:p>
            <w:pPr>
              <w:pStyle w:val="TableContents"/>
              <w:bidi w:val="0"/>
              <w:spacing w:before="0" w:after="283"/>
              <w:jc w:val="left"/>
              <w:rPr/>
            </w:pPr>
            <w:r>
              <w:rPr/>
              <w:t> </w:t>
            </w:r>
          </w:p>
        </w:tc>
        <w:tc>
          <w:tcPr>
            <w:tcW w:w="197"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767"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2,995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31" w:type="dxa"/>
            <w:tcBorders>
              <w:bottom w:val="double" w:sz="8" w:space="0" w:color="000000"/>
            </w:tcBorders>
            <w:tcMar>
              <w:bottom w:w="28" w:type="dxa"/>
            </w:tcMar>
            <w:vAlign w:val="bottom"/>
          </w:tcPr>
          <w:p>
            <w:pPr>
              <w:pStyle w:val="TableContents"/>
              <w:bidi w:val="0"/>
              <w:spacing w:before="0" w:after="0"/>
              <w:jc w:val="left"/>
              <w:rPr>
                <w:rFonts w:ascii="Times New Roman" w:hAnsi="Times New Roman"/>
                <w:sz w:val="20"/>
              </w:rPr>
            </w:pPr>
            <w:r>
              <w:rPr>
                <w:rFonts w:ascii="Times New Roman" w:hAnsi="Times New Roman"/>
                <w:sz w:val="20"/>
              </w:rPr>
              <w:t>$</w:t>
            </w:r>
          </w:p>
        </w:tc>
        <w:tc>
          <w:tcPr>
            <w:tcW w:w="898" w:type="dxa"/>
            <w:tcBorders>
              <w:bottom w:val="double" w:sz="8" w:space="0" w:color="000000"/>
            </w:tcBorders>
            <w:tcMar>
              <w:bottom w:w="28" w:type="dxa"/>
            </w:tcMar>
            <w:vAlign w:val="bottom"/>
          </w:tcPr>
          <w:p>
            <w:pPr>
              <w:pStyle w:val="TableContents"/>
              <w:bidi w:val="0"/>
              <w:spacing w:before="0" w:after="0"/>
              <w:jc w:val="right"/>
              <w:rPr>
                <w:rFonts w:ascii="Times New Roman" w:hAnsi="Times New Roman"/>
                <w:sz w:val="20"/>
              </w:rPr>
            </w:pPr>
            <w:r>
              <w:rPr>
                <w:rFonts w:ascii="Times New Roman" w:hAnsi="Times New Roman"/>
                <w:sz w:val="20"/>
              </w:rPr>
              <w:t>3,524</w:t>
            </w:r>
          </w:p>
        </w:tc>
        <w:tc>
          <w:tcPr>
            <w:tcW w:w="60"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pStyle w:val="TextBody"/>
        <w:bidi w:val="0"/>
        <w:spacing w:before="200" w:after="200"/>
        <w:jc w:val="center"/>
        <w:rPr>
          <w:rFonts w:ascii="Times New Roman" w:hAnsi="Times New Roman"/>
          <w:b w:val="false"/>
          <w:i w:val="false"/>
          <w:caps w:val="false"/>
          <w:smallCaps w:val="false"/>
          <w:color w:val="000000"/>
          <w:sz w:val="16"/>
        </w:rPr>
      </w:pPr>
      <w:r>
        <w:rPr>
          <w:rFonts w:ascii="Times New Roman" w:hAnsi="Times New Roman"/>
          <w:b w:val="false"/>
          <w:i w:val="false"/>
          <w:caps w:val="false"/>
          <w:smallCaps w:val="false"/>
          <w:color w:val="000000"/>
          <w:sz w:val="16"/>
        </w:rPr>
        <w:t>10</w:t>
      </w:r>
    </w:p>
    <w:p>
      <w:pPr>
        <w:pStyle w:val="HorizontalLine"/>
        <w:pBdr>
          <w:bottom w:val="single" w:sz="12" w:space="0" w:color="808080"/>
        </w:pBdr>
        <w:bidi w:val="0"/>
        <w:spacing w:before="200" w:after="200"/>
        <w:jc w:val="left"/>
        <w:rPr/>
      </w:pPr>
      <w:r>
        <w:rPr/>
      </w:r>
    </w:p>
    <w:p>
      <w:pPr>
        <w:pStyle w:val="TextBody"/>
        <w:bidi w:val="0"/>
        <w:spacing w:lineRule="auto" w:line="240" w:before="0" w:after="0"/>
        <w:jc w:val="left"/>
        <w:rPr>
          <w:rFonts w:ascii="Times New Roman" w:hAnsi="Times New Roman"/>
          <w:color w:val="000000"/>
          <w:sz w:val="20"/>
        </w:rPr>
      </w:pPr>
      <w:r>
        <w:rPr>
          <w:rFonts w:ascii="Times New Roman" w:hAnsi="Times New Roman"/>
          <w:b/>
          <w:color w:val="000000"/>
          <w:sz w:val="20"/>
        </w:rPr>
        <w:t>Key 2026 Value Driving Events</w:t>
      </w:r>
      <w:r>
        <w:rPr>
          <w:rFonts w:ascii="Times New Roman" w:hAnsi="Times New Roman"/>
          <w:color w:val="000000"/>
          <w:sz w:val="20"/>
        </w:rPr>
        <w:t>(1)</w:t>
      </w:r>
    </w:p>
    <w:p>
      <w:pPr>
        <w:pStyle w:val="TextBody"/>
        <w:bidi w:val="0"/>
        <w:spacing w:before="0" w:after="0"/>
        <w:jc w:val="left"/>
        <w:rPr>
          <w:color w:val="000000"/>
        </w:rPr>
      </w:pPr>
      <w:r>
        <w:rPr>
          <w:color w:val="000000"/>
        </w:rPr>
        <w:t> </w:t>
      </w:r>
    </w:p>
    <w:p>
      <w:pPr>
        <w:pStyle w:val="Normal"/>
        <w:bidi w:val="0"/>
        <w:spacing w:before="0" w:after="0"/>
        <w:jc w:val="left"/>
        <w:rPr>
          <w:sz w:val="4"/>
          <w:szCs w:val="4"/>
        </w:rPr>
      </w:pPr>
      <w:r>
        <w:rPr>
          <w:sz w:val="4"/>
          <w:szCs w:val="4"/>
        </w:rPr>
      </w:r>
      <w:bookmarkStart w:id="86" w:name="zfcc4bf7c4d594f4da4d1daa707713252"/>
      <w:bookmarkStart w:id="87" w:name="zfcc4bf7c4d594f4da4d1daa707713252"/>
      <w:bookmarkEnd w:id="87"/>
    </w:p>
    <w:tbl>
      <w:tblPr>
        <w:tblW w:w="2015" w:type="dxa"/>
        <w:jc w:val="center"/>
        <w:tblInd w:w="0" w:type="dxa"/>
        <w:tblLayout w:type="fixed"/>
        <w:tblCellMar>
          <w:top w:w="28" w:type="dxa"/>
          <w:left w:w="28" w:type="dxa"/>
          <w:bottom w:w="28" w:type="dxa"/>
          <w:right w:w="0" w:type="dxa"/>
        </w:tblCellMar>
      </w:tblPr>
      <w:tblGrid>
        <w:gridCol w:w="60"/>
        <w:gridCol w:w="195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95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New Product Launches</w:t>
            </w:r>
          </w:p>
        </w:tc>
      </w:tr>
    </w:tbl>
    <w:tbl>
      <w:tblPr>
        <w:tblW w:w="4640" w:type="dxa"/>
        <w:jc w:val="center"/>
        <w:tblInd w:w="0" w:type="dxa"/>
        <w:tblLayout w:type="fixed"/>
        <w:tblCellMar>
          <w:top w:w="0" w:type="dxa"/>
          <w:left w:w="28" w:type="dxa"/>
          <w:bottom w:w="28" w:type="dxa"/>
          <w:right w:w="0" w:type="dxa"/>
        </w:tblCellMar>
      </w:tblPr>
      <w:tblGrid>
        <w:gridCol w:w="60"/>
        <w:gridCol w:w="1115"/>
        <w:gridCol w:w="60"/>
        <w:gridCol w:w="1490"/>
        <w:gridCol w:w="60"/>
        <w:gridCol w:w="1055"/>
        <w:gridCol w:w="800"/>
      </w:tblGrid>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Program</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Indication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Location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Status</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DAWNZERA</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HAE</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EU</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Olezarsen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sHTG</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U.S.</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Zilganersen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Alexander disease</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U.S.</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Bepirovirsen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CHB</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5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U.S. &amp; Japan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88" w:name="zb629a0fa7ab84e17bded4a16085d904d"/>
      <w:bookmarkStart w:id="89" w:name="zb629a0fa7ab84e17bded4a16085d904d"/>
      <w:bookmarkEnd w:id="89"/>
    </w:p>
    <w:tbl>
      <w:tblPr>
        <w:tblW w:w="1715" w:type="dxa"/>
        <w:jc w:val="center"/>
        <w:tblInd w:w="0" w:type="dxa"/>
        <w:tblLayout w:type="fixed"/>
        <w:tblCellMar>
          <w:top w:w="28" w:type="dxa"/>
          <w:left w:w="28" w:type="dxa"/>
          <w:bottom w:w="28" w:type="dxa"/>
          <w:right w:w="0" w:type="dxa"/>
        </w:tblCellMar>
      </w:tblPr>
      <w:tblGrid>
        <w:gridCol w:w="60"/>
        <w:gridCol w:w="1655"/>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1655"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Regulatory Actions</w:t>
            </w:r>
          </w:p>
        </w:tc>
      </w:tr>
    </w:tbl>
    <w:tbl>
      <w:tblPr>
        <w:tblW w:w="5675" w:type="dxa"/>
        <w:jc w:val="center"/>
        <w:tblInd w:w="0" w:type="dxa"/>
        <w:tblLayout w:type="fixed"/>
        <w:tblCellMar>
          <w:top w:w="0" w:type="dxa"/>
          <w:left w:w="28" w:type="dxa"/>
          <w:bottom w:w="28" w:type="dxa"/>
          <w:right w:w="0" w:type="dxa"/>
        </w:tblCellMar>
      </w:tblPr>
      <w:tblGrid>
        <w:gridCol w:w="60"/>
        <w:gridCol w:w="1115"/>
        <w:gridCol w:w="60"/>
        <w:gridCol w:w="1490"/>
        <w:gridCol w:w="60"/>
        <w:gridCol w:w="2090"/>
        <w:gridCol w:w="800"/>
      </w:tblGrid>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Program</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Indication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Regulatory Action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Status</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Donidalorsen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HAE</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 approval decision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vMerge w:val="restart"/>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vMerge w:val="restart"/>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Olezarsen</w:t>
            </w:r>
          </w:p>
        </w:tc>
        <w:tc>
          <w:tcPr>
            <w:tcW w:w="60" w:type="dxa"/>
            <w:vMerge w:val="restart"/>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vMerge w:val="restart"/>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sHTG</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U.S. approval decision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vMerge w:val="continue"/>
            <w:tcBorders>
              <w:left w:val="single" w:sz="12" w:space="0" w:color="000000"/>
              <w:bottom w:val="single" w:sz="12" w:space="0" w:color="000000"/>
            </w:tcBorders>
            <w:vAlign w:val="center"/>
          </w:tcPr>
          <w:p>
            <w:pPr>
              <w:pStyle w:val="Normal"/>
              <w:bidi w:val="0"/>
              <w:jc w:val="left"/>
              <w:rPr/>
            </w:pPr>
            <w:r>
              <w:rPr/>
            </w:r>
          </w:p>
        </w:tc>
        <w:tc>
          <w:tcPr>
            <w:tcW w:w="1115" w:type="dxa"/>
            <w:vMerge w:val="continue"/>
            <w:tcBorders>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vMerge w:val="continue"/>
            <w:tcBorders>
              <w:left w:val="single" w:sz="12" w:space="0" w:color="000000"/>
              <w:bottom w:val="single" w:sz="12" w:space="0" w:color="000000"/>
            </w:tcBorders>
            <w:vAlign w:val="center"/>
          </w:tcPr>
          <w:p>
            <w:pPr>
              <w:pStyle w:val="Normal"/>
              <w:bidi w:val="0"/>
              <w:jc w:val="left"/>
              <w:rPr/>
            </w:pPr>
            <w:r>
              <w:rPr/>
            </w:r>
          </w:p>
        </w:tc>
        <w:tc>
          <w:tcPr>
            <w:tcW w:w="1490" w:type="dxa"/>
            <w:vMerge w:val="continue"/>
            <w:tcBorders>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 approval decision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 •</w:t>
            </w:r>
          </w:p>
        </w:tc>
      </w:tr>
      <w:tr>
        <w:trPr/>
        <w:tc>
          <w:tcPr>
            <w:tcW w:w="60" w:type="dxa"/>
            <w:vMerge w:val="restart"/>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vMerge w:val="restart"/>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Zilganersen</w:t>
            </w:r>
          </w:p>
        </w:tc>
        <w:tc>
          <w:tcPr>
            <w:tcW w:w="60" w:type="dxa"/>
            <w:vMerge w:val="restart"/>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vMerge w:val="restart"/>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Alexander disease</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U.S. submission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vMerge w:val="continue"/>
            <w:tcBorders>
              <w:left w:val="single" w:sz="12" w:space="0" w:color="000000"/>
              <w:bottom w:val="single" w:sz="12" w:space="0" w:color="000000"/>
            </w:tcBorders>
            <w:vAlign w:val="center"/>
          </w:tcPr>
          <w:p>
            <w:pPr>
              <w:pStyle w:val="Normal"/>
              <w:bidi w:val="0"/>
              <w:jc w:val="left"/>
              <w:rPr/>
            </w:pPr>
            <w:r>
              <w:rPr/>
            </w:r>
          </w:p>
        </w:tc>
        <w:tc>
          <w:tcPr>
            <w:tcW w:w="1115" w:type="dxa"/>
            <w:vMerge w:val="continue"/>
            <w:tcBorders>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vMerge w:val="continue"/>
            <w:tcBorders>
              <w:left w:val="single" w:sz="12" w:space="0" w:color="000000"/>
              <w:bottom w:val="single" w:sz="12" w:space="0" w:color="000000"/>
            </w:tcBorders>
            <w:vAlign w:val="center"/>
          </w:tcPr>
          <w:p>
            <w:pPr>
              <w:pStyle w:val="Normal"/>
              <w:bidi w:val="0"/>
              <w:jc w:val="left"/>
              <w:rPr/>
            </w:pPr>
            <w:r>
              <w:rPr/>
            </w:r>
          </w:p>
        </w:tc>
        <w:tc>
          <w:tcPr>
            <w:tcW w:w="1490" w:type="dxa"/>
            <w:vMerge w:val="continue"/>
            <w:tcBorders>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U.S. approval decision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60" w:type="dxa"/>
            <w:vMerge w:val="restart"/>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vMerge w:val="restart"/>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Nusinersen</w:t>
            </w:r>
          </w:p>
          <w:p>
            <w:pPr>
              <w:pStyle w:val="TableContents"/>
              <w:bidi w:val="0"/>
              <w:spacing w:before="0" w:after="0"/>
              <w:jc w:val="left"/>
              <w:rPr>
                <w:rFonts w:ascii="Times New Roman" w:hAnsi="Times New Roman"/>
                <w:sz w:val="20"/>
              </w:rPr>
            </w:pPr>
            <w:r>
              <w:rPr>
                <w:rFonts w:ascii="Times New Roman" w:hAnsi="Times New Roman"/>
                <w:sz w:val="20"/>
              </w:rPr>
              <w:t>(high dose)</w:t>
            </w:r>
          </w:p>
        </w:tc>
        <w:tc>
          <w:tcPr>
            <w:tcW w:w="60" w:type="dxa"/>
            <w:vMerge w:val="restart"/>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vMerge w:val="restart"/>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SMA</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EU approval decision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vMerge w:val="continue"/>
            <w:tcBorders>
              <w:left w:val="single" w:sz="12" w:space="0" w:color="000000"/>
              <w:bottom w:val="single" w:sz="12" w:space="0" w:color="000000"/>
            </w:tcBorders>
            <w:vAlign w:val="center"/>
          </w:tcPr>
          <w:p>
            <w:pPr>
              <w:pStyle w:val="Normal"/>
              <w:bidi w:val="0"/>
              <w:jc w:val="left"/>
              <w:rPr/>
            </w:pPr>
            <w:r>
              <w:rPr/>
            </w:r>
          </w:p>
        </w:tc>
        <w:tc>
          <w:tcPr>
            <w:tcW w:w="1115" w:type="dxa"/>
            <w:vMerge w:val="continue"/>
            <w:tcBorders>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vMerge w:val="continue"/>
            <w:tcBorders>
              <w:left w:val="single" w:sz="12" w:space="0" w:color="000000"/>
              <w:bottom w:val="single" w:sz="12" w:space="0" w:color="000000"/>
            </w:tcBorders>
            <w:vAlign w:val="center"/>
          </w:tcPr>
          <w:p>
            <w:pPr>
              <w:pStyle w:val="Normal"/>
              <w:bidi w:val="0"/>
              <w:jc w:val="left"/>
              <w:rPr/>
            </w:pPr>
            <w:r>
              <w:rPr/>
            </w:r>
          </w:p>
        </w:tc>
        <w:tc>
          <w:tcPr>
            <w:tcW w:w="1490" w:type="dxa"/>
            <w:vMerge w:val="continue"/>
            <w:tcBorders>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U.S. approval decision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Eplontersen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ATTR-CM</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submission(s)</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60" w:type="dxa"/>
            <w:vMerge w:val="restart"/>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vMerge w:val="restart"/>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Bepirovirsen</w:t>
            </w:r>
          </w:p>
        </w:tc>
        <w:tc>
          <w:tcPr>
            <w:tcW w:w="60" w:type="dxa"/>
            <w:vMerge w:val="restart"/>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vMerge w:val="restart"/>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CHB</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submission(s)</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vMerge w:val="continue"/>
            <w:tcBorders>
              <w:left w:val="single" w:sz="12" w:space="0" w:color="000000"/>
              <w:bottom w:val="single" w:sz="12" w:space="0" w:color="000000"/>
            </w:tcBorders>
            <w:vAlign w:val="center"/>
          </w:tcPr>
          <w:p>
            <w:pPr>
              <w:pStyle w:val="Normal"/>
              <w:bidi w:val="0"/>
              <w:jc w:val="left"/>
              <w:rPr/>
            </w:pPr>
            <w:r>
              <w:rPr/>
            </w:r>
          </w:p>
        </w:tc>
        <w:tc>
          <w:tcPr>
            <w:tcW w:w="1115" w:type="dxa"/>
            <w:vMerge w:val="continue"/>
            <w:tcBorders>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vMerge w:val="continue"/>
            <w:tcBorders>
              <w:left w:val="single" w:sz="12" w:space="0" w:color="000000"/>
              <w:bottom w:val="single" w:sz="12" w:space="0" w:color="000000"/>
            </w:tcBorders>
            <w:vAlign w:val="center"/>
          </w:tcPr>
          <w:p>
            <w:pPr>
              <w:pStyle w:val="Normal"/>
              <w:bidi w:val="0"/>
              <w:jc w:val="left"/>
              <w:rPr/>
            </w:pPr>
            <w:r>
              <w:rPr/>
            </w:r>
          </w:p>
        </w:tc>
        <w:tc>
          <w:tcPr>
            <w:tcW w:w="1490" w:type="dxa"/>
            <w:vMerge w:val="continue"/>
            <w:tcBorders>
              <w:bottom w:val="single" w:sz="12" w:space="0" w:color="000000"/>
              <w:right w:val="single" w:sz="12" w:space="0" w:color="000000"/>
            </w:tcBorders>
            <w:tcMar>
              <w:left w:w="0" w:type="dxa"/>
              <w:right w:w="28" w:type="dxa"/>
            </w:tcMar>
            <w:vAlign w:val="center"/>
          </w:tcPr>
          <w:p>
            <w:pPr>
              <w:pStyle w:val="Normal"/>
              <w:bidi w:val="0"/>
              <w:jc w:val="left"/>
              <w:rPr/>
            </w:pPr>
            <w:r>
              <w:rPr/>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Regulatory decision(s)</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11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Pelacarsen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4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Lp(a)- CVD</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09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U.S. submission</w:t>
            </w:r>
          </w:p>
        </w:tc>
        <w:tc>
          <w:tcPr>
            <w:tcW w:w="800"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0" w:name="z3ad96c26b60940678f3660b52982e4da"/>
      <w:bookmarkStart w:id="91" w:name="z3ad96c26b60940678f3660b52982e4da"/>
      <w:bookmarkEnd w:id="91"/>
    </w:p>
    <w:tbl>
      <w:tblPr>
        <w:tblW w:w="2450" w:type="dxa"/>
        <w:jc w:val="center"/>
        <w:tblInd w:w="0" w:type="dxa"/>
        <w:tblLayout w:type="fixed"/>
        <w:tblCellMar>
          <w:top w:w="28" w:type="dxa"/>
          <w:left w:w="28" w:type="dxa"/>
          <w:bottom w:w="28" w:type="dxa"/>
          <w:right w:w="0" w:type="dxa"/>
        </w:tblCellMar>
      </w:tblPr>
      <w:tblGrid>
        <w:gridCol w:w="60"/>
        <w:gridCol w:w="2390"/>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239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Key Phase 3 Clinical Events</w:t>
            </w:r>
          </w:p>
        </w:tc>
      </w:tr>
    </w:tbl>
    <w:tbl>
      <w:tblPr>
        <w:tblW w:w="6408" w:type="dxa"/>
        <w:jc w:val="center"/>
        <w:tblInd w:w="0" w:type="dxa"/>
        <w:tblLayout w:type="fixed"/>
        <w:tblCellMar>
          <w:top w:w="0" w:type="dxa"/>
          <w:left w:w="28" w:type="dxa"/>
          <w:bottom w:w="28" w:type="dxa"/>
          <w:right w:w="0" w:type="dxa"/>
        </w:tblCellMar>
      </w:tblPr>
      <w:tblGrid>
        <w:gridCol w:w="60"/>
        <w:gridCol w:w="1085"/>
        <w:gridCol w:w="60"/>
        <w:gridCol w:w="1700"/>
        <w:gridCol w:w="60"/>
        <w:gridCol w:w="2225"/>
        <w:gridCol w:w="1218"/>
      </w:tblGrid>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Program</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Indication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Event</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ind w:left="0" w:right="0" w:firstLine="73"/>
              <w:jc w:val="center"/>
              <w:rPr>
                <w:rFonts w:ascii="Times New Roman" w:hAnsi="Times New Roman"/>
                <w:b/>
                <w:sz w:val="20"/>
              </w:rPr>
            </w:pPr>
            <w:r>
              <w:rPr>
                <w:rFonts w:ascii="Times New Roman" w:hAnsi="Times New Roman"/>
                <w:b/>
                <w:sz w:val="20"/>
              </w:rPr>
              <w:t>Status</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Obudanersen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Angelman syndrome</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REVEAL fully enrolled</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ind w:left="0" w:right="0" w:firstLine="73"/>
              <w:jc w:val="center"/>
              <w:rPr>
                <w:rFonts w:ascii="Times New Roman" w:hAnsi="Times New Roman"/>
                <w:sz w:val="20"/>
              </w:rPr>
            </w:pPr>
            <w:r>
              <w:rPr>
                <w:rFonts w:ascii="Times New Roman" w:hAnsi="Times New Roman"/>
                <w:sz w:val="20"/>
              </w:rPr>
              <w:t>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Bepirovirsen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HBV</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B-Well data</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ind w:left="0" w:right="0" w:firstLine="73"/>
              <w:jc w:val="center"/>
              <w:rPr>
                <w:rFonts w:ascii="Times New Roman" w:hAnsi="Times New Roman"/>
                <w:sz w:val="20"/>
              </w:rPr>
            </w:pPr>
            <w:r>
              <w:rPr>
                <w:rFonts w:ascii="Times New Roman" w:hAnsi="Times New Roman"/>
                <w:sz w:val="20"/>
              </w:rPr>
              <w:t>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Pelacarsen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Lp(a)-CVD</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Lp(a) HORIZON data</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Eplontersen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ATTR-CM</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CARDIO-TTRansform data</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ind w:left="0" w:right="0" w:firstLine="73"/>
              <w:jc w:val="center"/>
              <w:rPr>
                <w:rFonts w:ascii="Times New Roman" w:hAnsi="Times New Roman"/>
                <w:sz w:val="20"/>
              </w:rPr>
            </w:pPr>
            <w:r>
              <w:rPr>
                <w:rFonts w:ascii="Times New Roman" w:hAnsi="Times New Roman"/>
                <w:sz w:val="20"/>
              </w:rPr>
              <w:t>Not 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Sefaxersen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IgAN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IMAGINATION data</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Ulefnersen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FUS-ALS</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FUSION data</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pPr>
            <w:r>
              <w:rPr/>
              <w:t>•</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Salanersen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SMA</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Phase 3 initiation</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8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Sapablursen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70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Polycythemia Vera</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Phase 3 initiation</w:t>
            </w:r>
          </w:p>
        </w:tc>
        <w:tc>
          <w:tcPr>
            <w:tcW w:w="1218"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2" w:name="zbf79cd1ef04341af9e1a470112e94650"/>
      <w:bookmarkStart w:id="93" w:name="zbf79cd1ef04341af9e1a470112e94650"/>
      <w:bookmarkEnd w:id="93"/>
    </w:p>
    <w:tbl>
      <w:tblPr>
        <w:tblW w:w="2450" w:type="dxa"/>
        <w:jc w:val="center"/>
        <w:tblInd w:w="0" w:type="dxa"/>
        <w:tblLayout w:type="fixed"/>
        <w:tblCellMar>
          <w:top w:w="28" w:type="dxa"/>
          <w:left w:w="28" w:type="dxa"/>
          <w:bottom w:w="28" w:type="dxa"/>
          <w:right w:w="0" w:type="dxa"/>
        </w:tblCellMar>
      </w:tblPr>
      <w:tblGrid>
        <w:gridCol w:w="60"/>
        <w:gridCol w:w="2390"/>
      </w:tblGrid>
      <w:tr>
        <w:trPr/>
        <w:tc>
          <w:tcPr>
            <w:tcW w:w="60" w:type="dxa"/>
            <w:tcBorders>
              <w:top w:val="single" w:sz="12" w:space="0" w:color="000000"/>
              <w:left w:val="single" w:sz="12" w:space="0" w:color="000000"/>
              <w:bottom w:val="single" w:sz="12" w:space="0" w:color="000000"/>
            </w:tcBorders>
            <w:vAlign w:val="center"/>
          </w:tcPr>
          <w:p>
            <w:pPr>
              <w:pStyle w:val="TableContents"/>
              <w:bidi w:val="0"/>
              <w:spacing w:before="0" w:after="283"/>
              <w:jc w:val="left"/>
              <w:rPr/>
            </w:pPr>
            <w:r>
              <w:rPr/>
              <w:t> </w:t>
            </w:r>
          </w:p>
        </w:tc>
        <w:tc>
          <w:tcPr>
            <w:tcW w:w="2390" w:type="dxa"/>
            <w:tcBorders>
              <w:top w:val="single" w:sz="12" w:space="0" w:color="000000"/>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Key Phase 2 Clinical Events</w:t>
            </w:r>
          </w:p>
        </w:tc>
      </w:tr>
    </w:tbl>
    <w:tbl>
      <w:tblPr>
        <w:tblW w:w="6260" w:type="dxa"/>
        <w:jc w:val="center"/>
        <w:tblInd w:w="0" w:type="dxa"/>
        <w:tblLayout w:type="fixed"/>
        <w:tblCellMar>
          <w:top w:w="0" w:type="dxa"/>
          <w:left w:w="28" w:type="dxa"/>
          <w:bottom w:w="28" w:type="dxa"/>
          <w:right w:w="0" w:type="dxa"/>
        </w:tblCellMar>
      </w:tblPr>
      <w:tblGrid>
        <w:gridCol w:w="60"/>
        <w:gridCol w:w="1070"/>
        <w:gridCol w:w="60"/>
        <w:gridCol w:w="2225"/>
        <w:gridCol w:w="60"/>
        <w:gridCol w:w="1640"/>
        <w:gridCol w:w="1145"/>
      </w:tblGrid>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7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Program</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Indication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64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b/>
                <w:sz w:val="20"/>
              </w:rPr>
            </w:pPr>
            <w:r>
              <w:rPr>
                <w:rFonts w:ascii="Times New Roman" w:hAnsi="Times New Roman"/>
                <w:b/>
                <w:sz w:val="20"/>
              </w:rPr>
              <w:t>Event</w:t>
            </w:r>
          </w:p>
        </w:tc>
        <w:tc>
          <w:tcPr>
            <w:tcW w:w="114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b/>
                <w:sz w:val="20"/>
              </w:rPr>
            </w:pPr>
            <w:r>
              <w:rPr>
                <w:rFonts w:ascii="Times New Roman" w:hAnsi="Times New Roman"/>
                <w:b/>
                <w:sz w:val="20"/>
              </w:rPr>
              <w:t>Status</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7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Diranersen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Alzheimer’s disease</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64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Phase 2 CELIA data</w:t>
            </w:r>
          </w:p>
        </w:tc>
        <w:tc>
          <w:tcPr>
            <w:tcW w:w="114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7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Tominersen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Huntington’s disease</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64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Phase 2 data</w:t>
            </w:r>
          </w:p>
        </w:tc>
        <w:tc>
          <w:tcPr>
            <w:tcW w:w="114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Not Achieved</w:t>
            </w:r>
          </w:p>
        </w:tc>
      </w:tr>
      <w:tr>
        <w:trPr/>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07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Tonlamarsen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2225"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Acute Severe Hypertension</w:t>
            </w:r>
          </w:p>
        </w:tc>
        <w:tc>
          <w:tcPr>
            <w:tcW w:w="60" w:type="dxa"/>
            <w:tcBorders>
              <w:left w:val="single" w:sz="12" w:space="0" w:color="000000"/>
              <w:bottom w:val="single" w:sz="12" w:space="0" w:color="000000"/>
            </w:tcBorders>
            <w:vAlign w:val="center"/>
          </w:tcPr>
          <w:p>
            <w:pPr>
              <w:pStyle w:val="TableContents"/>
              <w:bidi w:val="0"/>
              <w:spacing w:before="0" w:after="283"/>
              <w:jc w:val="left"/>
              <w:rPr/>
            </w:pPr>
            <w:r>
              <w:rPr/>
              <w:t> </w:t>
            </w:r>
          </w:p>
        </w:tc>
        <w:tc>
          <w:tcPr>
            <w:tcW w:w="1640" w:type="dxa"/>
            <w:tcBorders>
              <w:bottom w:val="single" w:sz="12" w:space="0" w:color="000000"/>
              <w:right w:val="single" w:sz="12" w:space="0" w:color="000000"/>
            </w:tcBorders>
            <w:tcMar>
              <w:left w:w="0" w:type="dxa"/>
              <w:right w:w="28"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Phase 2 data</w:t>
            </w:r>
          </w:p>
        </w:tc>
        <w:tc>
          <w:tcPr>
            <w:tcW w:w="1145" w:type="dxa"/>
            <w:tcBorders>
              <w:left w:val="single" w:sz="12" w:space="0" w:color="000000"/>
              <w:bottom w:val="single" w:sz="12" w:space="0" w:color="000000"/>
              <w:right w:val="single" w:sz="12" w:space="0" w:color="000000"/>
            </w:tcBorders>
            <w:tcMar>
              <w:right w:w="28" w:type="dxa"/>
            </w:tcMar>
            <w:vAlign w:val="center"/>
          </w:tcPr>
          <w:p>
            <w:pPr>
              <w:pStyle w:val="TableContents"/>
              <w:bidi w:val="0"/>
              <w:spacing w:before="0" w:after="0"/>
              <w:jc w:val="center"/>
              <w:rPr>
                <w:rFonts w:ascii="Times New Roman" w:hAnsi="Times New Roman"/>
                <w:sz w:val="20"/>
              </w:rPr>
            </w:pPr>
            <w:r>
              <w:rPr>
                <w:rFonts w:ascii="Times New Roman" w:hAnsi="Times New Roman"/>
                <w:sz w:val="20"/>
              </w:rPr>
              <w:t>Achieved</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4" w:name="zd2bb119c3a9449e587c43c78bd202110"/>
      <w:bookmarkStart w:id="95" w:name="zd2bb119c3a9449e587c43c78bd202110"/>
      <w:bookmarkEnd w:id="95"/>
    </w:p>
    <w:tbl>
      <w:tblPr>
        <w:tblW w:w="6325" w:type="dxa"/>
        <w:jc w:val="left"/>
        <w:tblInd w:w="0" w:type="dxa"/>
        <w:tblLayout w:type="fixed"/>
        <w:tblCellMar>
          <w:top w:w="0" w:type="dxa"/>
          <w:left w:w="0" w:type="dxa"/>
          <w:bottom w:w="0" w:type="dxa"/>
          <w:right w:w="0" w:type="dxa"/>
        </w:tblCellMar>
      </w:tblPr>
      <w:tblGrid>
        <w:gridCol w:w="75"/>
        <w:gridCol w:w="245"/>
        <w:gridCol w:w="600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(1)</w:t>
            </w:r>
          </w:p>
        </w:tc>
        <w:tc>
          <w:tcPr>
            <w:tcW w:w="6005" w:type="dxa"/>
            <w:tcBorders/>
            <w:vAlign w:val="center"/>
          </w:tcPr>
          <w:p>
            <w:pPr>
              <w:pStyle w:val="TableContents"/>
              <w:bidi w:val="0"/>
              <w:spacing w:before="0" w:after="0"/>
              <w:jc w:val="both"/>
              <w:rPr>
                <w:rFonts w:ascii="Times New Roman" w:hAnsi="Times New Roman"/>
                <w:sz w:val="20"/>
              </w:rPr>
            </w:pPr>
            <w:r>
              <w:rPr>
                <w:rFonts w:ascii="Times New Roman" w:hAnsi="Times New Roman"/>
                <w:sz w:val="20"/>
              </w:rPr>
              <w:t>Timing expectations based on current assumptions and subject to change.</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96" w:name="z5a22c0cd625e40a893ddd00ff81b67bb"/>
      <w:bookmarkStart w:id="97" w:name="z5a22c0cd625e40a893ddd00ff81b67bb"/>
      <w:bookmarkEnd w:id="97"/>
    </w:p>
    <w:tbl>
      <w:tblPr>
        <w:tblW w:w="4278" w:type="dxa"/>
        <w:jc w:val="left"/>
        <w:tblInd w:w="0" w:type="dxa"/>
        <w:tblLayout w:type="fixed"/>
        <w:tblCellMar>
          <w:top w:w="0" w:type="dxa"/>
          <w:left w:w="0" w:type="dxa"/>
          <w:bottom w:w="0" w:type="dxa"/>
          <w:right w:w="0" w:type="dxa"/>
        </w:tblCellMar>
      </w:tblPr>
      <w:tblGrid>
        <w:gridCol w:w="38"/>
        <w:gridCol w:w="110"/>
        <w:gridCol w:w="4130"/>
      </w:tblGrid>
      <w:tr>
        <w:trPr/>
        <w:tc>
          <w:tcPr>
            <w:tcW w:w="38" w:type="dxa"/>
            <w:tcBorders/>
            <w:vAlign w:val="center"/>
          </w:tcPr>
          <w:p>
            <w:pPr>
              <w:pStyle w:val="TableContents"/>
              <w:bidi w:val="0"/>
              <w:spacing w:before="0" w:after="283"/>
              <w:jc w:val="left"/>
              <w:rPr/>
            </w:pPr>
            <w:r>
              <w:rPr/>
            </w:r>
          </w:p>
        </w:tc>
        <w:tc>
          <w:tcPr>
            <w:tcW w:w="110" w:type="dxa"/>
            <w:tcBorders/>
            <w:vAlign w:val="center"/>
          </w:tcPr>
          <w:p>
            <w:pPr>
              <w:pStyle w:val="TableContents"/>
              <w:bidi w:val="0"/>
              <w:spacing w:before="0" w:after="283"/>
              <w:jc w:val="left"/>
              <w:rPr/>
            </w:pPr>
            <w:r>
              <w:rPr/>
              <w:t>•</w:t>
            </w:r>
          </w:p>
        </w:tc>
        <w:tc>
          <w:tcPr>
            <w:tcW w:w="4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Indicates that the milestone is anticipated in 2026.</w:t>
            </w:r>
          </w:p>
        </w:tc>
      </w:tr>
    </w:tbl>
    <w:p>
      <w:pPr>
        <w:pStyle w:val="TextBody"/>
        <w:bidi w:val="0"/>
        <w:spacing w:before="0" w:after="0"/>
        <w:jc w:val="left"/>
        <w:rPr>
          <w:color w:val="000000"/>
        </w:rPr>
      </w:pPr>
      <w:r>
        <w:rPr>
          <w:color w:val="000000"/>
        </w:rPr>
        <w:t> </w:t>
      </w:r>
    </w:p>
    <w:p>
      <w:pPr>
        <w:pStyle w:val="TextBody"/>
        <w:bidi w:val="0"/>
        <w:spacing w:before="0" w:after="0"/>
        <w:ind w:left="0" w:right="90" w:hanging="0"/>
        <w:jc w:val="center"/>
        <w:rPr>
          <w:rFonts w:ascii="Times New Roman" w:hAnsi="Times New Roman"/>
          <w:color w:val="000000"/>
          <w:sz w:val="20"/>
        </w:rPr>
      </w:pPr>
      <w:r>
        <w:rPr>
          <w:rFonts w:ascii="Times New Roman" w:hAnsi="Times New Roman"/>
          <w:color w:val="000000"/>
          <w:sz w:val="20"/>
        </w:rPr>
        <w:t>#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rFonts w:ascii="Times New Roman" w:hAnsi="Times New Roman"/>
          <w:color w:val="000000"/>
          <w:sz w:val="20"/>
        </w:rPr>
      </w:pPr>
      <w:r>
        <w:rPr>
          <w:rFonts w:ascii="Times New Roman" w:hAnsi="Times New Roman"/>
          <w:b w:val="false"/>
          <w:i w:val="false"/>
          <w:caps w:val="false"/>
          <w:smallCaps w:val="false"/>
          <w:color w:val="000000"/>
          <w:sz w:val="16"/>
        </w:rPr>
        <w:t>11</w:t>
      </w:r>
      <w:r>
        <w:rPr>
          <w:rFonts w:ascii="Times New Roman" w:hAnsi="Times New Roman"/>
          <w:color w:val="000000"/>
          <w:sz w:val="20"/>
        </w:rPr>
        <w:t xml:space="preserve"> </w:t>
      </w:r>
    </w:p>
    <w:p>
      <w:pPr>
        <w:pStyle w:val="HorizontalLine"/>
        <w:pBdr>
          <w:bottom w:val="single" w:sz="1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3975</Words>
  <Characters>21586</Characters>
  <CharactersWithSpaces>25934</CharactersWithSpaces>
  <Paragraphs>2066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