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UNITED STATES SECURITIES AND EXCHANGE COMMISSION</w:t>
      </w:r>
    </w:p>
    <w:p>
      <w:pPr>
        <w:pStyle w:val="TextBody"/>
        <w:bidi w:val="0"/>
        <w:spacing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36"/>
          <w:shd w:fill="FFFFFF" w:val="clear"/>
        </w:rPr>
      </w:pPr>
      <w:r>
        <w:rPr>
          <w:rFonts w:ascii="Times New Roman;Times;serif" w:hAnsi="Times New Roman;Times;serif"/>
          <w:b/>
          <w:color w:val="000000"/>
          <w:sz w:val="36"/>
          <w:shd w:fill="FFFFFF" w:val="clear"/>
        </w:rPr>
        <w:t>FORM 8-K</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CURRENT REPORT</w:t>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PURSUANT TO SECTION 13 OR 15(d) OF THE</w:t>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SECURITIES EXCHANGE ACT OF 1934</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Date of report (Date of earliest event reported):  September 4, 2026</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48"/>
          <w:shd w:fill="FFFFFF" w:val="clear"/>
        </w:rPr>
      </w:pPr>
      <w:r>
        <w:rPr>
          <w:rFonts w:ascii="Times New Roman;Times;serif" w:hAnsi="Times New Roman;Times;serif"/>
          <w:b/>
          <w:color w:val="000000"/>
          <w:sz w:val="48"/>
          <w:shd w:fill="FFFFFF" w:val="clear"/>
        </w:rPr>
        <w:t>IONIS PHARMACEUTICALS, INC.</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(Exact Name of Registrant as Specified in Charter)</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Delaware</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(State or Other Jurisdiction of Incorporation)</w:t>
      </w:r>
    </w:p>
    <w:p>
      <w:pPr>
        <w:pStyle w:val="TextBody"/>
        <w:bidi w:val="0"/>
        <w:spacing w:before="0" w:after="0"/>
        <w:jc w:val="left"/>
        <w:rPr/>
      </w:pPr>
      <w:r>
        <w:rPr/>
      </w:r>
    </w:p>
    <w:tbl>
      <w:tblPr>
        <w:tblW w:w="4705" w:type="dxa"/>
        <w:jc w:val="left"/>
        <w:tblInd w:w="0" w:type="dxa"/>
        <w:tblLayout w:type="fixed"/>
        <w:tblCellMar>
          <w:top w:w="0" w:type="dxa"/>
          <w:left w:w="0" w:type="dxa"/>
          <w:bottom w:w="0" w:type="dxa"/>
          <w:right w:w="0" w:type="dxa"/>
        </w:tblCellMar>
      </w:tblPr>
      <w:tblGrid>
        <w:gridCol w:w="1865"/>
        <w:gridCol w:w="60"/>
        <w:gridCol w:w="2780"/>
      </w:tblGrid>
      <w:tr>
        <w:trPr/>
        <w:tc>
          <w:tcPr>
            <w:tcW w:w="1865"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000-19125</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33-0336973</w:t>
            </w:r>
          </w:p>
        </w:tc>
      </w:tr>
      <w:tr>
        <w:trPr/>
        <w:tc>
          <w:tcPr>
            <w:tcW w:w="186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(Commission File No.)</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2855 Gazelle Court</w:t>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Carlsbad, CA 92010</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(Address of Principal Executive Offices and Zip Code)</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Registrant’s telephone number, including area code: </w:t>
      </w:r>
      <w:r>
        <w:rPr>
          <w:rFonts w:ascii="Times New Roman;Times;serif" w:hAnsi="Times New Roman;Times;serif"/>
          <w:b/>
          <w:color w:val="000000"/>
          <w:sz w:val="20"/>
          <w:shd w:fill="FFFFFF" w:val="clear"/>
        </w:rPr>
        <w:t>(760) 931-9200</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r>
    </w:p>
    <w:p>
      <w:pPr>
        <w:pStyle w:val="HorizontalLine"/>
        <w:bidi w:val="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Securities registered pursuant to Section 12(b) of the Act:</w:t>
      </w:r>
    </w:p>
    <w:p>
      <w:pPr>
        <w:pStyle w:val="TextBody"/>
        <w:bidi w:val="0"/>
        <w:spacing w:before="0" w:after="0"/>
        <w:jc w:val="left"/>
        <w:rPr/>
      </w:pPr>
      <w:r>
        <w:rPr/>
      </w:r>
    </w:p>
    <w:tbl>
      <w:tblPr>
        <w:tblW w:w="7665" w:type="dxa"/>
        <w:jc w:val="left"/>
        <w:tblInd w:w="0" w:type="dxa"/>
        <w:tblLayout w:type="fixed"/>
        <w:tblCellMar>
          <w:top w:w="0" w:type="dxa"/>
          <w:left w:w="0" w:type="dxa"/>
          <w:bottom w:w="28" w:type="dxa"/>
          <w:right w:w="0" w:type="dxa"/>
        </w:tblCellMar>
      </w:tblPr>
      <w:tblGrid>
        <w:gridCol w:w="2660"/>
        <w:gridCol w:w="60"/>
        <w:gridCol w:w="1310"/>
        <w:gridCol w:w="60"/>
        <w:gridCol w:w="3575"/>
      </w:tblGrid>
      <w:tr>
        <w:trPr/>
        <w:tc>
          <w:tcPr>
            <w:tcW w:w="266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575"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60"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jc w:val="center"/>
              <w:rPr/>
            </w:pPr>
            <w:r>
              <w:rPr/>
              <w:t>“</w:t>
            </w:r>
            <w:r>
              <w:rPr>
                <w:rFonts w:ascii="Times New Roman;Times;serif" w:hAnsi="Times New Roman;Times;serif"/>
                <w:sz w:val="20"/>
              </w:rPr>
              <w:t>IONS”</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whether the registrant is an emerging growth company as defined in Rule 405 of the Securities Act of 1933 (Section 230.405 of this chapter) or Rule 12b-2 of the Securities Exchange Act of 1934 (Section 240.12b-2 of this chapter).</w:t>
      </w:r>
    </w:p>
    <w:p>
      <w:pPr>
        <w:pStyle w:val="TextBody"/>
        <w:bidi w:val="0"/>
        <w:spacing w:before="0" w:after="0"/>
        <w:jc w:val="righ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Emerging growth company          ☐</w:t>
      </w:r>
    </w:p>
    <w:p>
      <w:pPr>
        <w:pStyle w:val="TextBody"/>
        <w:bidi w:val="0"/>
        <w:spacing w:before="0" w:after="0"/>
        <w:jc w:val="righ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right"/>
        <w:rPr>
          <w:color w:val="000000"/>
          <w:shd w:fill="FFFFFF" w:val="clear"/>
        </w:rPr>
      </w:pPr>
      <w:r>
        <w:rPr>
          <w:color w:val="000000"/>
          <w:shd w:fill="FFFFFF" w:val="clear"/>
        </w:rPr>
        <w:t xml:space="preserve">☐ </w:t>
      </w:r>
    </w:p>
    <w:p>
      <w:pPr>
        <w:pStyle w:val="HorizontalLine"/>
        <w:bidi w:val="0"/>
        <w:jc w:val="right"/>
        <w:rPr/>
      </w:pPr>
      <w:r>
        <w:rPr/>
      </w:r>
    </w:p>
    <w:p>
      <w:pPr>
        <w:pStyle w:val="HorizontalLine"/>
        <w:bidi w:val="0"/>
        <w:spacing w:before="200" w:after="200"/>
        <w:jc w:val="left"/>
        <w:rPr/>
      </w:pPr>
      <w:r>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September 4, 2026, Ionis Pharmaceuticals, Inc.  (“</w:t>
      </w:r>
      <w:r>
        <w:rPr>
          <w:rFonts w:ascii="Times New Roman;Times;serif" w:hAnsi="Times New Roman;Times;serif"/>
          <w:b/>
          <w:i/>
          <w:color w:val="000000"/>
          <w:sz w:val="20"/>
          <w:shd w:fill="FFFFFF" w:val="clear"/>
        </w:rPr>
        <w:t>Ionis</w:t>
      </w:r>
      <w:r>
        <w:rPr>
          <w:rFonts w:ascii="Times New Roman;Times;serif" w:hAnsi="Times New Roman;Times;serif"/>
          <w:color w:val="000000"/>
          <w:sz w:val="20"/>
          <w:shd w:fill="FFFFFF" w:val="clear"/>
        </w:rPr>
        <w:t>”) issued a press release announcing that its partner, Novartis, reported that the pelacarsen Phase 3 Lp(a)HORIZON study, a pioneering cardiovascular outcomes trial, did not meet its primary endpoint of reducing the risk of cardiovascular events, a composite of cardiovascular death, non-fatal myocardial infarction, non-fatal stroke, and urgent coronary revascularization requiring hospitalization, compared to placebo. A copy of the press release is furnished as Exhibit 99.1 to this Current Report on Form 8-K.</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information in this Item 7.01 and the exhibit attached hereto shall not be deemed “filed” for purposes of Section 18 of the Securities Exchange Act of 1934, as amended (the “</w:t>
      </w:r>
      <w:r>
        <w:rPr>
          <w:rFonts w:ascii="Times New Roman;Times;serif" w:hAnsi="Times New Roman;Times;serif"/>
          <w:b/>
          <w:i/>
          <w:color w:val="000000"/>
          <w:sz w:val="20"/>
          <w:shd w:fill="FFFFFF" w:val="clear"/>
        </w:rPr>
        <w:t>Exchange Act</w:t>
      </w:r>
      <w:r>
        <w:rPr>
          <w:rFonts w:ascii="Times New Roman;Times;serif" w:hAnsi="Times New Roman;Times;serif"/>
          <w:color w:val="000000"/>
          <w:sz w:val="20"/>
          <w:shd w:fill="FFFFFF" w:val="clear"/>
        </w:rPr>
        <w: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September 4, 2026, Ionis announced that its partner, Novartis, reported that the pelacarsen Phase 3 Lp(a)HORIZON study, a pioneering cardiovascular outcomes trial, did not meet its primary endpoint of reducing the risk of cardiovascular events, a composite of cardiovascular death, non-fatal myocardial infarction, non-fatal stroke, and urgent coronary revascularization requiring hospitalization, compared to placebo. Consistent with previous studies, substantially lower lipoprotein (a) (“</w:t>
      </w:r>
      <w:r>
        <w:rPr>
          <w:rFonts w:ascii="Times New Roman;Times;serif" w:hAnsi="Times New Roman;Times;serif"/>
          <w:b/>
          <w:i/>
          <w:color w:val="000000"/>
          <w:sz w:val="20"/>
          <w:shd w:fill="FFFFFF" w:val="clear"/>
        </w:rPr>
        <w:t>Lp(a)</w:t>
      </w:r>
      <w:r>
        <w:rPr>
          <w:rFonts w:ascii="Times New Roman;Times;serif" w:hAnsi="Times New Roman;Times;serif"/>
          <w:color w:val="000000"/>
          <w:sz w:val="20"/>
          <w:shd w:fill="FFFFFF" w:val="clear"/>
        </w:rPr>
        <w:t>”) levels were achieved with pelacarsen. Elevated Lp(a) is an inherited cardiovascular risk factor affecting approximately one in five people worldwide with no approved targeted treatment.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Pelacarsen demonstrated an acceptable safety profile.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full Lp(a)HORIZON data will be presented at an upcoming medical congress.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Ionis discovered and conducted the early development of pelacarsen. In February 2019, Novartis exercised an option to license the rights to develop and commercialize pelacarsen for targeted cardiovascular therapy.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Forward-Looking Statements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report includes forward-looking statements regarding Ionis’ business and the therapeutic and commercial potential of pelacarsen, our commercial medicines, additional medicines in development and technologies and our expectations regarding development and regulatory milestones.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Ionis. In this report, unless the context requires otherwise, “Ionis,” “Company,” “we,” “our” and “us” all refer to Ionis Pharmaceuticals, Inc., and its subsidiaries.</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HorizontalLine"/>
        <w:bidi w:val="0"/>
        <w:spacing w:before="200" w:after="200"/>
        <w:jc w:val="left"/>
        <w:rPr/>
      </w:pPr>
      <w:r>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 Exhibits.</w:t>
      </w:r>
    </w:p>
    <w:p>
      <w:pPr>
        <w:pStyle w:val="TextBody"/>
        <w:bidi w:val="0"/>
        <w:spacing w:before="0" w:after="0"/>
        <w:jc w:val="left"/>
        <w:rPr/>
      </w:pPr>
      <w:r>
        <w:rPr/>
      </w:r>
    </w:p>
    <w:tbl>
      <w:tblPr>
        <w:tblW w:w="7585" w:type="dxa"/>
        <w:jc w:val="left"/>
        <w:tblInd w:w="0" w:type="dxa"/>
        <w:tblLayout w:type="fixed"/>
        <w:tblCellMar>
          <w:top w:w="0" w:type="dxa"/>
          <w:left w:w="0" w:type="dxa"/>
          <w:bottom w:w="0" w:type="dxa"/>
          <w:right w:w="0" w:type="dxa"/>
        </w:tblCellMar>
      </w:tblPr>
      <w:tblGrid>
        <w:gridCol w:w="995"/>
        <w:gridCol w:w="60"/>
        <w:gridCol w:w="6530"/>
      </w:tblGrid>
      <w:tr>
        <w:trPr/>
        <w:tc>
          <w:tcPr>
            <w:tcW w:w="995" w:type="dxa"/>
            <w:tcBorders/>
            <w:vAlign w:val="center"/>
          </w:tcPr>
          <w:p>
            <w:pPr>
              <w:pStyle w:val="TableContents"/>
              <w:bidi w:val="0"/>
              <w:spacing w:before="0" w:after="0"/>
              <w:jc w:val="center"/>
              <w:rPr>
                <w:rFonts w:ascii="Times New Roman;Times;serif" w:hAnsi="Times New Roman;Times;serif"/>
                <w:b/>
                <w:sz w:val="20"/>
                <w:u w:val="single"/>
              </w:rPr>
            </w:pPr>
            <w:r>
              <w:rPr>
                <w:rFonts w:ascii="Times New Roman;Times;serif" w:hAnsi="Times New Roman;Times;serif"/>
                <w:b/>
                <w:sz w:val="20"/>
                <w:u w:val="single"/>
              </w:rPr>
              <w:t>Exhibit No.</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995" w:type="dxa"/>
            <w:tcBorders/>
            <w:vAlign w:val="center"/>
          </w:tcPr>
          <w:p>
            <w:pPr>
              <w:pStyle w:val="TableContents"/>
              <w:bidi w:val="0"/>
              <w:spacing w:before="0" w:after="0"/>
              <w:jc w:val="center"/>
              <w:rPr/>
            </w:pPr>
            <w:hyperlink w:anchor="ef20081690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Press Release dated September 4, 2026.</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jc w:val="both"/>
        <w:rPr/>
      </w:pPr>
      <w:r>
        <w:rPr/>
      </w:r>
    </w:p>
    <w:p>
      <w:pPr>
        <w:pStyle w:val="HorizontalLine"/>
        <w:bidi w:val="0"/>
        <w:spacing w:before="200" w:after="200"/>
        <w:jc w:val="left"/>
        <w:rPr/>
      </w:pPr>
      <w:r>
        <w:rPr/>
      </w:r>
    </w:p>
    <w:p>
      <w:pPr>
        <w:pStyle w:val="TextBody"/>
        <w:bidi w:val="0"/>
        <w:spacing w:before="0" w:after="0"/>
        <w:jc w:val="center"/>
        <w:rPr>
          <w:rFonts w:ascii="Times New Roman;Times;serif" w:hAnsi="Times New Roman;Times;serif"/>
          <w:b/>
          <w:smallCaps/>
          <w:color w:val="000000"/>
          <w:sz w:val="20"/>
          <w:shd w:fill="FFFFFF" w:val="clear"/>
        </w:rPr>
      </w:pPr>
      <w:r>
        <w:rPr>
          <w:rFonts w:ascii="Times New Roman;Times;serif" w:hAnsi="Times New Roman;Times;serif"/>
          <w:b/>
          <w:smallCaps/>
          <w:color w:val="000000"/>
          <w:sz w:val="20"/>
          <w:shd w:fill="FFFFFF" w:val="clear"/>
        </w:rPr>
        <w:t>SIGNATURE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tbl>
      <w:tblPr>
        <w:tblW w:w="7995" w:type="dxa"/>
        <w:jc w:val="left"/>
        <w:tblInd w:w="0" w:type="dxa"/>
        <w:tblLayout w:type="fixed"/>
        <w:tblCellMar>
          <w:top w:w="0" w:type="dxa"/>
          <w:left w:w="0" w:type="dxa"/>
          <w:bottom w:w="0" w:type="dxa"/>
          <w:right w:w="0" w:type="dxa"/>
        </w:tblCellMar>
      </w:tblPr>
      <w:tblGrid>
        <w:gridCol w:w="2165"/>
        <w:gridCol w:w="320"/>
        <w:gridCol w:w="5450"/>
        <w:gridCol w:w="60"/>
      </w:tblGrid>
      <w:tr>
        <w:trPr/>
        <w:tc>
          <w:tcPr>
            <w:tcW w:w="2165" w:type="dxa"/>
            <w:tcBorders/>
            <w:vAlign w:val="center"/>
          </w:tcPr>
          <w:p>
            <w:pPr>
              <w:pStyle w:val="TableContents"/>
              <w:bidi w:val="0"/>
              <w:spacing w:before="0" w:after="283"/>
              <w:jc w:val="left"/>
              <w:rPr/>
            </w:pPr>
            <w:r>
              <w:rPr/>
              <w:t> </w:t>
            </w:r>
          </w:p>
        </w:tc>
        <w:tc>
          <w:tcPr>
            <w:tcW w:w="5830" w:type="dxa"/>
            <w:gridSpan w:val="3"/>
            <w:tcBorders/>
            <w:vAlign w:val="center"/>
          </w:tcPr>
          <w:p>
            <w:pPr>
              <w:pStyle w:val="TableContents"/>
              <w:bidi w:val="0"/>
              <w:spacing w:before="0" w:after="0"/>
              <w:jc w:val="both"/>
              <w:rPr>
                <w:rFonts w:ascii="Times New Roman;Times;serif" w:hAnsi="Times New Roman;Times;serif"/>
                <w:b/>
                <w:smallCaps/>
                <w:sz w:val="20"/>
              </w:rPr>
            </w:pPr>
            <w:r>
              <w:rPr>
                <w:rFonts w:ascii="Times New Roman;Times;serif" w:hAnsi="Times New Roman;Times;serif"/>
                <w:b/>
                <w:smallCaps/>
                <w:sz w:val="20"/>
              </w:rPr>
              <w:t>Ionis Pharmaceuticals, Inc.</w:t>
            </w:r>
          </w:p>
        </w:tc>
      </w:tr>
      <w:tr>
        <w:trPr/>
        <w:tc>
          <w:tcPr>
            <w:tcW w:w="21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Dated:  September 4, 2026</w:t>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By:</w:t>
            </w:r>
          </w:p>
        </w:tc>
        <w:tc>
          <w:tcPr>
            <w:tcW w:w="5450" w:type="dxa"/>
            <w:tcBorders>
              <w:bottom w:val="single" w:sz="12" w:space="0" w:color="000000"/>
            </w:tcBorders>
            <w:tcMar>
              <w:bottom w:w="28"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 Patrick R. O’Neil</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both"/>
              <w:rPr>
                <w:rFonts w:ascii="Times New Roman;Times;serif" w:hAnsi="Times New Roman;Times;serif"/>
                <w:b/>
                <w:smallCaps/>
                <w:sz w:val="20"/>
              </w:rPr>
            </w:pPr>
            <w:r>
              <w:rPr>
                <w:rFonts w:ascii="Times New Roman;Times;serif" w:hAnsi="Times New Roman;Times;serif"/>
                <w:b/>
                <w:smallCaps/>
                <w:sz w:val="20"/>
              </w:rPr>
              <w:t>Patrick R. O’Neil</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Chief Legal Officer and General Counsel</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0" w:name="ef20081690_ex99-1.htm"/>
      <w:bookmarkStart w:id="1" w:name="ksef20081690_ex991"/>
      <w:bookmarkStart w:id="2" w:name="ef20081690_ex99-1.htm"/>
      <w:bookmarkStart w:id="3" w:name="ksef20081690_ex991"/>
      <w:bookmarkEnd w:id="2"/>
      <w:bookmarkEnd w:id="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99.1</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143827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4667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Ionis partner Novartis announces Lp(a)HORIZON Phase 3 topline results for pelacarsen in patients with elevated Lp(a) and established cardiovascular disease (CVD)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CARLSBAD, Calif., September 4, 2026 </w:t>
      </w:r>
      <w:r>
        <w:rPr>
          <w:rFonts w:ascii="Times New Roman;Times;serif" w:hAnsi="Times New Roman;Times;serif"/>
          <w:color w:val="000000"/>
          <w:sz w:val="20"/>
        </w:rPr>
        <w:t xml:space="preserve">-- </w:t>
      </w:r>
      <w:r>
        <w:rPr>
          <w:rFonts w:ascii="Times New Roman;Times;serif" w:hAnsi="Times New Roman;Times;serif"/>
          <w:color w:val="000000"/>
          <w:sz w:val="20"/>
          <w:u w:val="single"/>
        </w:rPr>
        <w:t>Ionis Pharmaceuticals, Inc.</w:t>
      </w:r>
      <w:r>
        <w:rPr>
          <w:rFonts w:ascii="Times New Roman;Times;serif" w:hAnsi="Times New Roman;Times;serif"/>
          <w:color w:val="000000"/>
          <w:sz w:val="20"/>
        </w:rPr>
        <w:t xml:space="preserve"> (Nasdaq: IONS) partner Novartis today announced that the pelacarsen Phase 3 Lp(a)HORIZON study, a pioneering cardiovascular outcomes trial, did not meet its primary endpoint of reducing the risk of cardiovascular events, a composite of cardiovascular death, non-fatal myocardial infarction, non-fatal stroke, and urgent coronary revascularization requiring hospitalization, compared to placebo. Consistent with previous studies, substantially lower lipoprotein (a) [Lp(a)] levels were achieved with pelacarsen. Elevated Lp(a) is an inherited cardiovascular risk factor affecting approximately one in five people worldwide with no approved targeted treatment.</w:t>
      </w:r>
    </w:p>
    <w:p>
      <w:pPr>
        <w:pStyle w:val="TextBody"/>
        <w:bidi w:val="0"/>
        <w:spacing w:before="0" w:after="0"/>
        <w:jc w:val="left"/>
        <w:rPr/>
      </w:pPr>
      <w:r>
        <w:rPr/>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"Although pelacarsen substantially lowered Lp(a) levels consistent with previous studies, we are disappointed that this did not translate to cardiovascular risk reduction,” said Brett P. Monia, PhD, chief executive officer, Ionis. "Lp(a)HORIZON was the first pivotal Phase 3 trial to address the question as to whether lowering Lp(a) could reduce cardiovascular risk in people with established cardiovascular disease who are already receiving optimal cardiovascular care. While the study did not meet its primary endpoint, these results provide clarity that will meaningfully inform future cardiovascular care. Ionis continues to drive the independent commercialization of our wholly owned medicines, TRYNGOLZA®, DAWNZERA® and now ZANVASTRO™, and advance a robust pipeline of potentially transformational medicines."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Pelacarsen demonstrated an acceptable safety profile.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full Lp(a)HORIZON data will be presented at an upcoming medical congress.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Ionis discovered and conducted the early development of pelacarsen. In February 2019, Novartis exercised an option to license the rights to develop and commercialize pelacarsen for targeted cardiovascular therapy.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About pelacarsen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Pelacarsen is an investigational antisense oligonucleotide (ASO) designed to potentially inhibit lipoprotein(a) [Lp(a)] production at its source.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About Elevated Lp(a)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Elevated lipoprotein (a) [Lp(a)] is an inherited, independent and causal cardiovascular disease (CVD) risk factor. Lp(a) levels are approximately 90% genetically determined and largely unaffected by diet or lifestyle. Lp(a) can contribute to plaque buildup and inflammation in the arteries, which can lead to plaque rupture and cardiovascular events. Approximately 20% of people worldwide, and nearly one-third of those with premature cardiovascular disease, have elevated Lp(a). U.S. and European guidelines recommend Lp(a) testing once in a lifetime for all adults.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About Lp(a)HORIZON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Lp(a)HORIZON (NCT04023552) is a Phase 3, randomized, placebo-controlled, double-blind, parallel-group, multi-center global cardiovascular outcomes trial evaluating the effect of pelacarsen on the incidence of 4-point major adverse cardiovascular events (MACE) in 8,323 patients with elevated Lp(a) and established CVD. The primary endpoint is a composite of cardiovascular death, non-fatal myocardial infarction, non-fatal stroke, and urgent coronary revascularization requiring hospitalization, evaluated in the overall population (Lp(a) ≥70 mg/dL) and subpopulation (Lp(a) ≥90 mg/dL). Study participants received guideline-directed treatments, including lipid lowering and antihypertensive therapies.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1438275"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38275" cy="466725"/>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About Ionis Pharmaceuticals,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more than three decades, Ionis has invented medicines that bring better futures to people with serious diseases. Ionis currently has marketed medicines and a leading pipeline in neurology, cardiometabolic disease and select areas of high patient need. As the pioneer in RNA-targeted medicines, Ionis continues to drive innovation in RNA therapies in addition to advancing new approaches in gene editing. A deep understanding of disease biology and industry-leading technology propels our work, coupled with a passion and urgency to deliver life-changing advances for patients. To learn more about Ionis, visit </w:t>
      </w:r>
      <w:r>
        <w:rPr>
          <w:rFonts w:ascii="Times New Roman;Times;serif" w:hAnsi="Times New Roman;Times;serif"/>
          <w:color w:val="000000"/>
          <w:sz w:val="20"/>
          <w:u w:val="single"/>
        </w:rPr>
        <w:t>Ionis.com</w:t>
      </w:r>
      <w:r>
        <w:rPr>
          <w:rFonts w:ascii="Times New Roman;Times;serif" w:hAnsi="Times New Roman;Times;serif"/>
          <w:color w:val="000000"/>
          <w:sz w:val="20"/>
        </w:rPr>
        <w:t xml:space="preserve"> and follow us on </w:t>
      </w:r>
      <w:r>
        <w:rPr>
          <w:rFonts w:ascii="Times New Roman;Times;serif" w:hAnsi="Times New Roman;Times;serif"/>
          <w:color w:val="000000"/>
          <w:sz w:val="20"/>
          <w:u w:val="single"/>
        </w:rPr>
        <w:t>X (Twitter)</w:t>
      </w:r>
      <w:r>
        <w:rPr>
          <w:rFonts w:ascii="Times New Roman;Times;serif" w:hAnsi="Times New Roman;Times;serif"/>
          <w:color w:val="000000"/>
          <w:sz w:val="20"/>
        </w:rPr>
        <w:t xml:space="preserve">, </w:t>
      </w:r>
      <w:r>
        <w:rPr>
          <w:rFonts w:ascii="Times New Roman;Times;serif" w:hAnsi="Times New Roman;Times;serif"/>
          <w:color w:val="000000"/>
          <w:sz w:val="20"/>
          <w:u w:val="single"/>
        </w:rPr>
        <w:t>LinkedIn</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Instagram</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Ionis Forward-looking Statements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press release includes forward-looking statements regarding Ionis' business and the therapeutic and commercial potential of pelacarsen, our commercial medicines, additional medicines in development and technologies and our expectations regarding development and regulatory milestones.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the Company.</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this press release, unless the context requires otherwise, "Ionis," "Company," "we," "our" and "us" all refer to Ionis Pharmaceuticals and its subsidiaries.</w:t>
      </w:r>
    </w:p>
    <w:p>
      <w:pPr>
        <w:pStyle w:val="TextBody"/>
        <w:bidi w:val="0"/>
        <w:spacing w:before="0" w:after="0"/>
        <w:jc w:val="left"/>
        <w:rPr/>
      </w:pPr>
      <w:r>
        <w:rPr/>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Ionis Pharmaceuticals®, TRYNGOLZA®, DAWNZERA® and ZANVASTRO™ are trademarks of Ionis Pharmaceuticals, Inc.</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Ionis Investor Contact: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 Wade Walke, Ph.D.</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IR@ionis.com</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760-603-2331</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Ionis Media Contact: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Hayley Soffer</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media@ionis.com</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760-603-4679</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1793</Words>
  <Characters>10980</Characters>
  <CharactersWithSpaces>12722</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