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 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color w:val="000000"/>
          <w:shd w:fill="FFFFFF" w:val="clear"/>
        </w:rPr>
      </w:pPr>
      <w:r>
        <w:rPr>
          <w:color w:val="000000"/>
          <w:shd w:fill="FFFFFF" w:val="clear"/>
        </w:rPr>
        <w:t> </w:t>
      </w:r>
      <w:r>
        <w:rPr>
          <w:rFonts w:ascii="Times New Roman" w:hAnsi="Times New Roman"/>
          <w:b/>
          <w:color w:val="000000"/>
          <w:sz w:val="20"/>
          <w:shd w:fill="FFFFFF" w:val="clear"/>
        </w:rPr>
        <w:t>PURSUANT TO SECTION 13 OR 15(d) OF THE</w:t>
      </w:r>
    </w:p>
    <w:p>
      <w:pPr>
        <w:pStyle w:val="TextBody"/>
        <w:bidi w:val="0"/>
        <w:spacing w:before="0" w:after="0"/>
        <w:jc w:val="center"/>
        <w:rPr>
          <w:color w:val="000000"/>
          <w:shd w:fill="FFFFFF" w:val="clear"/>
        </w:rPr>
      </w:pPr>
      <w:r>
        <w:rPr>
          <w:color w:val="000000"/>
          <w:shd w:fill="FFFFFF" w:val="clear"/>
        </w:rPr>
        <w:t> </w:t>
      </w:r>
      <w:r>
        <w:rPr>
          <w:rFonts w:ascii="Times New Roman" w:hAnsi="Times New Roman"/>
          <w:b/>
          <w:color w:val="000000"/>
          <w:sz w:val="20"/>
          <w:shd w:fill="FFFFFF" w:val="clear"/>
        </w:rPr>
        <w:t>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  July 9, 2026</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IONIS PHARMACEUTICALS,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Charter)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Delaware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(State or Other Jurisdiction of Incorporation)</w:t>
      </w:r>
    </w:p>
    <w:p>
      <w:pPr>
        <w:pStyle w:val="TextBody"/>
        <w:bidi w:val="0"/>
        <w:spacing w:before="0" w:after="0"/>
        <w:jc w:val="left"/>
        <w:rPr/>
      </w:pPr>
      <w:r>
        <w:rPr/>
      </w:r>
    </w:p>
    <w:tbl>
      <w:tblPr>
        <w:tblW w:w="4638" w:type="dxa"/>
        <w:jc w:val="left"/>
        <w:tblInd w:w="0" w:type="dxa"/>
        <w:tblLayout w:type="fixed"/>
        <w:tblCellMar>
          <w:top w:w="0" w:type="dxa"/>
          <w:left w:w="0" w:type="dxa"/>
          <w:bottom w:w="0" w:type="dxa"/>
          <w:right w:w="0" w:type="dxa"/>
        </w:tblCellMar>
      </w:tblPr>
      <w:tblGrid>
        <w:gridCol w:w="1850"/>
        <w:gridCol w:w="23"/>
        <w:gridCol w:w="2765"/>
      </w:tblGrid>
      <w:tr>
        <w:trPr/>
        <w:tc>
          <w:tcPr>
            <w:tcW w:w="1850" w:type="dxa"/>
            <w:tcBorders/>
            <w:vAlign w:val="center"/>
          </w:tcPr>
          <w:p>
            <w:pPr>
              <w:pStyle w:val="TableContents"/>
              <w:bidi w:val="0"/>
              <w:spacing w:before="0" w:after="283"/>
              <w:jc w:val="center"/>
              <w:rPr>
                <w:b/>
                <w:sz w:val="20"/>
              </w:rPr>
            </w:pPr>
            <w:r>
              <w:rPr>
                <w:b/>
                <w:sz w:val="20"/>
              </w:rPr>
              <w:t>000-19125</w:t>
            </w:r>
          </w:p>
        </w:tc>
        <w:tc>
          <w:tcPr>
            <w:tcW w:w="23" w:type="dxa"/>
            <w:tcBorders/>
            <w:vAlign w:val="center"/>
          </w:tcPr>
          <w:p>
            <w:pPr>
              <w:pStyle w:val="TableContents"/>
              <w:bidi w:val="0"/>
              <w:spacing w:before="0" w:after="283"/>
              <w:jc w:val="left"/>
              <w:rPr/>
            </w:pPr>
            <w:r>
              <w:rPr/>
            </w:r>
          </w:p>
        </w:tc>
        <w:tc>
          <w:tcPr>
            <w:tcW w:w="276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33-0336973</w:t>
            </w:r>
          </w:p>
        </w:tc>
      </w:tr>
      <w:tr>
        <w:trPr/>
        <w:tc>
          <w:tcPr>
            <w:tcW w:w="18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(Commission File No.)</w:t>
            </w:r>
          </w:p>
        </w:tc>
        <w:tc>
          <w:tcPr>
            <w:tcW w:w="23" w:type="dxa"/>
            <w:tcBorders/>
            <w:vAlign w:val="center"/>
          </w:tcPr>
          <w:p>
            <w:pPr>
              <w:pStyle w:val="TableContents"/>
              <w:bidi w:val="0"/>
              <w:spacing w:before="0" w:after="283"/>
              <w:jc w:val="left"/>
              <w:rPr/>
            </w:pPr>
            <w:r>
              <w:rPr/>
            </w:r>
          </w:p>
        </w:tc>
        <w:tc>
          <w:tcPr>
            <w:tcW w:w="27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2855 Gazelle Court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Carlsbad, CA 92010</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 and Zip Code)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Registrant’s telephone number, including area code: </w:t>
      </w:r>
      <w:r>
        <w:rPr>
          <w:rFonts w:ascii="Times New Roman" w:hAnsi="Times New Roman"/>
          <w:b/>
          <w:color w:val="000000"/>
          <w:sz w:val="20"/>
          <w:shd w:fill="FFFFFF" w:val="clear"/>
        </w:rPr>
        <w:t>(760) 931-9200</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0"/>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0"/>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0"/>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7665" w:type="dxa"/>
        <w:jc w:val="left"/>
        <w:tblInd w:w="0" w:type="dxa"/>
        <w:tblLayout w:type="fixed"/>
        <w:tblCellMar>
          <w:top w:w="0" w:type="dxa"/>
          <w:left w:w="0" w:type="dxa"/>
          <w:bottom w:w="28" w:type="dxa"/>
          <w:right w:w="0" w:type="dxa"/>
        </w:tblCellMar>
      </w:tblPr>
      <w:tblGrid>
        <w:gridCol w:w="2660"/>
        <w:gridCol w:w="60"/>
        <w:gridCol w:w="1310"/>
        <w:gridCol w:w="60"/>
        <w:gridCol w:w="3575"/>
      </w:tblGrid>
      <w:tr>
        <w:trPr/>
        <w:tc>
          <w:tcPr>
            <w:tcW w:w="266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1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57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2660" w:type="dxa"/>
            <w:tcBorders/>
            <w:tcMar>
              <w:bottom w:w="0" w:type="dxa"/>
            </w:tcMar>
            <w:vAlign w:val="center"/>
          </w:tcPr>
          <w:p>
            <w:pPr>
              <w:pStyle w:val="TableContents"/>
              <w:bidi w:val="0"/>
              <w:spacing w:before="0" w:after="283"/>
              <w:jc w:val="center"/>
              <w:rPr>
                <w:sz w:val="20"/>
              </w:rPr>
            </w:pPr>
            <w:r>
              <w:rPr>
                <w:sz w:val="20"/>
              </w:rPr>
              <w:t>Common Stock, $.001 Par Value</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jc w:val="center"/>
              <w:rPr>
                <w:color w:val="000000"/>
              </w:rPr>
            </w:pPr>
            <w:r>
              <w:rPr>
                <w:color w:val="000000"/>
              </w:rPr>
              <w:t>“</w:t>
            </w:r>
            <w:r>
              <w:rPr>
                <w:rFonts w:ascii="Times New Roman" w:hAnsi="Times New Roman"/>
                <w:color w:val="000000"/>
                <w:sz w:val="20"/>
              </w:rPr>
              <w:t>IONS”</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(Section 230.405 of this chapter) or Rule 12b-2 of the Securities Exchange Act of 1934 (Section 240.12b-2 of this chapter).</w:t>
      </w:r>
    </w:p>
    <w:p>
      <w:pPr>
        <w:pStyle w:val="TextBody"/>
        <w:bidi w:val="0"/>
        <w:spacing w:before="0" w:after="0"/>
        <w:jc w:val="right"/>
        <w:rPr>
          <w:color w:val="000000"/>
          <w:shd w:fill="FFFFFF" w:val="clear"/>
        </w:rPr>
      </w:pPr>
      <w:r>
        <w:rPr>
          <w:color w:val="000000"/>
          <w:shd w:fill="FFFFFF" w:val="clear"/>
        </w:rPr>
        <w:t>  </w:t>
      </w: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9975"/>
        <w:gridCol w:w="230"/>
      </w:tblGrid>
      <w:tr>
        <w:trPr/>
        <w:tc>
          <w:tcPr>
            <w:tcW w:w="9975" w:type="dxa"/>
            <w:tcBorders/>
            <w:vAlign w:val="center"/>
          </w:tcPr>
          <w:p>
            <w:pPr>
              <w:pStyle w:val="TableContents"/>
              <w:bidi w:val="0"/>
              <w:spacing w:before="0" w:after="283"/>
              <w:jc w:val="left"/>
              <w:rPr/>
            </w:pPr>
            <w:r>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230" w:type="dxa"/>
            <w:tcBorders/>
            <w:vAlign w:val="center"/>
          </w:tcPr>
          <w:p>
            <w:pPr>
              <w:pStyle w:val="TableContents"/>
              <w:bidi w:val="0"/>
              <w:spacing w:before="0" w:after="283"/>
              <w:jc w:val="right"/>
              <w:rPr/>
            </w:pPr>
            <w:r>
              <w:rPr/>
              <w:t>☐</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7.01</w:t>
            </w:r>
          </w:p>
        </w:tc>
        <w:tc>
          <w:tcPr>
            <w:tcW w:w="224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Regulation FD Disclosure.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pPr>
      <w:r>
        <w:rPr>
          <w:rFonts w:ascii="Times New Roman" w:hAnsi="Times New Roman"/>
          <w:color w:val="000000"/>
          <w:sz w:val="20"/>
          <w:shd w:fill="FFFFFF" w:val="clear"/>
        </w:rPr>
        <w:t>Ionis Pharmaceuticals, Inc. (the “</w:t>
      </w:r>
      <w:r>
        <w:rPr>
          <w:rFonts w:ascii="Times New Roman" w:hAnsi="Times New Roman"/>
          <w:b/>
          <w:i/>
          <w:color w:val="000000"/>
          <w:sz w:val="20"/>
          <w:shd w:fill="FFFFFF" w:val="clear"/>
        </w:rPr>
        <w:t>Company</w:t>
      </w:r>
      <w:r>
        <w:rPr>
          <w:rFonts w:ascii="Times New Roman" w:hAnsi="Times New Roman"/>
          <w:color w:val="000000"/>
          <w:sz w:val="20"/>
          <w:shd w:fill="FFFFFF" w:val="clear"/>
        </w:rPr>
        <w:t xml:space="preserve">”) is reaffirming its previously announced financial guidance for the fiscal year ending December 31, 2026, which remains unchanged from the financial guidance the Company provided on April 29, 2026 in its </w:t>
      </w:r>
      <w:hyperlink r:id="rId2">
        <w:r>
          <w:rPr>
            <w:rStyle w:val="InternetLink"/>
          </w:rPr>
          <w:t>first quarter 2026 earnings release</w:t>
        </w:r>
      </w:hyperlink>
      <w:r>
        <w:rPr>
          <w:rFonts w:ascii="Times New Roman" w:hAnsi="Times New Roman"/>
          <w:color w:val="000000"/>
          <w:sz w:val="20"/>
          <w:shd w:fill="FFFFFF" w:val="clear"/>
        </w:rPr>
        <w: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in this Item 7.01 shall not be deemed “filed” for purposes of Section 18 of the Securities Exchange Act of 1934, as amended (the “</w:t>
      </w:r>
      <w:r>
        <w:rPr>
          <w:rFonts w:ascii="Times New Roman" w:hAnsi="Times New Roman"/>
          <w:b/>
          <w:i/>
          <w:color w:val="000000"/>
          <w:sz w:val="20"/>
          <w:shd w:fill="FFFFFF" w:val="clear"/>
        </w:rPr>
        <w:t>Exchange Act</w:t>
      </w:r>
      <w:r>
        <w:rPr>
          <w:rFonts w:ascii="Times New Roman" w:hAnsi="Times New Roman"/>
          <w:color w:val="000000"/>
          <w:sz w:val="20"/>
          <w:shd w:fill="FFFFFF" w:val="clear"/>
        </w:rPr>
        <w: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Forward-Looking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report contains forward-looking statements, including statements regarding the Company’s 2026 financial guidance and expected financial performance. Any statement describing the Company’s financial projections, intentions or beliefs is a forward-looking statement and should be considered an at-risk statement. Such statements are subject to certain risks and uncertainties including those inherent in the process of discovering, developing and commercializing medicines that are safe and effective for use as human therapeutics, and in the endeavor of building a business around such medicines. The Company’s forward-looking statements also involve assumptions that, if they never materialize or prove correct, could cause its results to differ materially from those expressed or implied by such forward-looking statements. Although the Company’s forward-looking statements reflect the good faith judgment of its management, these statements are based only on facts and factors currently known by the Company. Except as required by law, we undertake no obligation to update any forward-looking statements for any reason. As a result, you are cautioned not to rely on these forward-looking statements. These and other risks concerning the Company’s programs are described in additional detail in the Company’s annual report on Form 10-K for the year ended December 31, 2025, and most recent Form 10-Q, which are on file with the Securities and Exchange Commission. Copies of these and other documents are available from the Company.</w:t>
      </w:r>
    </w:p>
    <w:p>
      <w:pPr>
        <w:pStyle w:val="TextBody"/>
        <w:bidi w:val="0"/>
        <w:spacing w:before="0" w:after="0"/>
        <w:jc w:val="left"/>
        <w:rPr>
          <w:color w:val="000000"/>
          <w:shd w:fill="FFFFFF" w:val="clear"/>
        </w:rPr>
      </w:pPr>
      <w:r>
        <w:rPr>
          <w:color w:val="000000"/>
          <w:shd w:fill="FFFFFF" w:val="clear"/>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 Exhibits.</w:t>
      </w:r>
    </w:p>
    <w:tbl>
      <w:tblPr>
        <w:tblW w:w="7495" w:type="dxa"/>
        <w:jc w:val="left"/>
        <w:tblInd w:w="0" w:type="dxa"/>
        <w:tblLayout w:type="fixed"/>
        <w:tblCellMar>
          <w:top w:w="0" w:type="dxa"/>
          <w:left w:w="0" w:type="dxa"/>
          <w:bottom w:w="0" w:type="dxa"/>
          <w:right w:w="0" w:type="dxa"/>
        </w:tblCellMar>
      </w:tblPr>
      <w:tblGrid>
        <w:gridCol w:w="980"/>
        <w:gridCol w:w="6515"/>
      </w:tblGrid>
      <w:tr>
        <w:trPr/>
        <w:tc>
          <w:tcPr>
            <w:tcW w:w="980" w:type="dxa"/>
            <w:tcBorders/>
            <w:vAlign w:val="center"/>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Exhibit No.</w:t>
            </w:r>
          </w:p>
        </w:tc>
        <w:tc>
          <w:tcPr>
            <w:tcW w:w="6515" w:type="dxa"/>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Description</w:t>
            </w:r>
          </w:p>
        </w:tc>
      </w:tr>
      <w:tr>
        <w:trPr/>
        <w:tc>
          <w:tcPr>
            <w:tcW w:w="98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104</w:t>
            </w:r>
          </w:p>
        </w:tc>
        <w:tc>
          <w:tcPr>
            <w:tcW w:w="6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jc w:val="both"/>
        <w:rPr>
          <w:sz w:val="20"/>
        </w:rPr>
      </w:pPr>
      <w:r>
        <w:rPr>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smallCaps/>
          <w:color w:val="000000"/>
          <w:sz w:val="20"/>
          <w:shd w:fill="FFFFFF" w:val="clear"/>
        </w:rPr>
      </w:pPr>
      <w:r>
        <w:rPr>
          <w:rFonts w:ascii="Times New Roman" w:hAnsi="Times New Roman"/>
          <w:b/>
          <w:smallCaps/>
          <w:color w:val="000000"/>
          <w:sz w:val="20"/>
          <w:shd w:fill="FFFFFF" w:val="clear"/>
        </w:rPr>
        <w:t>SIGNATURE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left"/>
        <w:rPr>
          <w:color w:val="000000"/>
          <w:shd w:fill="FFFFFF" w:val="clear"/>
        </w:rPr>
      </w:pPr>
      <w:r>
        <w:rPr>
          <w:color w:val="000000"/>
          <w:shd w:fill="FFFFFF" w:val="clear"/>
        </w:rPr>
        <w:t> </w:t>
      </w:r>
    </w:p>
    <w:tbl>
      <w:tblPr>
        <w:tblW w:w="7470" w:type="dxa"/>
        <w:jc w:val="left"/>
        <w:tblInd w:w="0" w:type="dxa"/>
        <w:tblLayout w:type="fixed"/>
        <w:tblCellMar>
          <w:top w:w="0" w:type="dxa"/>
          <w:left w:w="0" w:type="dxa"/>
          <w:bottom w:w="0" w:type="dxa"/>
          <w:right w:w="0" w:type="dxa"/>
        </w:tblCellMar>
      </w:tblPr>
      <w:tblGrid>
        <w:gridCol w:w="1655"/>
        <w:gridCol w:w="365"/>
        <w:gridCol w:w="5450"/>
      </w:tblGrid>
      <w:tr>
        <w:trPr/>
        <w:tc>
          <w:tcPr>
            <w:tcW w:w="1655" w:type="dxa"/>
            <w:tcBorders/>
            <w:vAlign w:val="center"/>
          </w:tcPr>
          <w:p>
            <w:pPr>
              <w:pStyle w:val="TableContents"/>
              <w:bidi w:val="0"/>
              <w:spacing w:before="0" w:after="283"/>
              <w:jc w:val="left"/>
              <w:rPr/>
            </w:pPr>
            <w:r>
              <w:rPr/>
            </w:r>
          </w:p>
        </w:tc>
        <w:tc>
          <w:tcPr>
            <w:tcW w:w="5815" w:type="dxa"/>
            <w:gridSpan w:val="2"/>
            <w:tcBorders/>
            <w:vAlign w:val="center"/>
          </w:tcPr>
          <w:p>
            <w:pPr>
              <w:pStyle w:val="TableContents"/>
              <w:bidi w:val="0"/>
              <w:spacing w:before="0" w:after="0"/>
              <w:jc w:val="both"/>
              <w:rPr>
                <w:rFonts w:ascii="Times New Roman" w:hAnsi="Times New Roman"/>
                <w:b/>
                <w:smallCaps/>
                <w:sz w:val="20"/>
              </w:rPr>
            </w:pPr>
            <w:r>
              <w:rPr>
                <w:rFonts w:ascii="Times New Roman" w:hAnsi="Times New Roman"/>
                <w:b/>
                <w:smallCaps/>
                <w:sz w:val="20"/>
              </w:rPr>
              <w:t>Ionis Pharmaceuticals, Inc.</w:t>
            </w:r>
          </w:p>
        </w:tc>
      </w:tr>
      <w:tr>
        <w:trPr/>
        <w:tc>
          <w:tcPr>
            <w:tcW w:w="1655" w:type="dxa"/>
            <w:tcBorders/>
            <w:vAlign w:val="center"/>
          </w:tcPr>
          <w:p>
            <w:pPr>
              <w:pStyle w:val="TableContents"/>
              <w:bidi w:val="0"/>
              <w:spacing w:before="0" w:after="283"/>
              <w:jc w:val="left"/>
              <w:rPr/>
            </w:pPr>
            <w:r>
              <w:rPr/>
            </w:r>
          </w:p>
        </w:tc>
        <w:tc>
          <w:tcPr>
            <w:tcW w:w="5815" w:type="dxa"/>
            <w:gridSpan w:val="2"/>
            <w:tcBorders/>
            <w:vAlign w:val="center"/>
          </w:tcPr>
          <w:p>
            <w:pPr>
              <w:pStyle w:val="TableContents"/>
              <w:bidi w:val="0"/>
              <w:spacing w:before="0" w:after="283"/>
              <w:jc w:val="left"/>
              <w:rPr/>
            </w:pPr>
            <w:r>
              <w:rPr/>
            </w:r>
          </w:p>
        </w:tc>
      </w:tr>
      <w:tr>
        <w:trPr/>
        <w:tc>
          <w:tcPr>
            <w:tcW w:w="16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Dated:  July 9, 2026</w:t>
            </w:r>
          </w:p>
        </w:tc>
        <w:tc>
          <w:tcPr>
            <w:tcW w:w="365" w:type="dxa"/>
            <w:tcBorders/>
            <w:vAlign w:val="center"/>
          </w:tcPr>
          <w:p>
            <w:pPr>
              <w:pStyle w:val="TableContents"/>
              <w:bidi w:val="0"/>
              <w:spacing w:before="0" w:after="283"/>
              <w:jc w:val="left"/>
              <w:rPr>
                <w:sz w:val="20"/>
              </w:rPr>
            </w:pPr>
            <w:r>
              <w:rPr>
                <w:sz w:val="20"/>
              </w:rPr>
              <w:t xml:space="preserve">By: </w:t>
            </w:r>
          </w:p>
        </w:tc>
        <w:tc>
          <w:tcPr>
            <w:tcW w:w="5450" w:type="dxa"/>
            <w:tcBorders>
              <w:bottom w:val="single" w:sz="12" w:space="0" w:color="000000"/>
            </w:tcBorders>
            <w:tcMar>
              <w:bottom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/s/ Patrick R. O’Neil</w:t>
            </w:r>
          </w:p>
        </w:tc>
      </w:tr>
      <w:tr>
        <w:trPr/>
        <w:tc>
          <w:tcPr>
            <w:tcW w:w="1655"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both"/>
              <w:rPr>
                <w:rFonts w:ascii="Times New Roman" w:hAnsi="Times New Roman"/>
                <w:b/>
                <w:smallCaps/>
                <w:sz w:val="20"/>
              </w:rPr>
            </w:pPr>
            <w:r>
              <w:rPr>
                <w:rFonts w:ascii="Times New Roman" w:hAnsi="Times New Roman"/>
                <w:b/>
                <w:smallCaps/>
                <w:sz w:val="20"/>
              </w:rPr>
              <w:t>Patrick R. O’Neil</w:t>
            </w:r>
          </w:p>
        </w:tc>
      </w:tr>
      <w:tr>
        <w:trPr/>
        <w:tc>
          <w:tcPr>
            <w:tcW w:w="1655"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Executive Vice President, Chief Legal Officer and General Counsel</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74015/000114036126017637/ef20071749_ex99-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709</Words>
  <Characters>4015</Characters>
  <CharactersWithSpaces>4709</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