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626_8k.htm"/>
      <w:bookmarkStart w:id="1" w:name="ksef20082626_8k"/>
      <w:bookmarkStart w:id="2" w:name="ef20082626_8k.htm"/>
      <w:bookmarkStart w:id="3" w:name="ksef20082626_8k"/>
      <w:bookmarkEnd w:id="2"/>
      <w:bookmarkEnd w:id="3"/>
    </w:p>
    <w:p>
      <w:pPr>
        <w:pStyle w:val="TextBody"/>
        <w:bidi w:val="0"/>
        <w:spacing w:before="0" w:after="240"/>
        <w:ind w:left="0" w:right="0" w:hanging="0"/>
        <w:jc w:val="both"/>
        <w:rPr>
          <w:rFonts w:ascii="Times New Roman" w:hAnsi="Times New Roman"/>
          <w:b/>
          <w:sz w:val="28"/>
        </w:rPr>
      </w:pPr>
      <w:r>
        <w:rPr>
          <w:rFonts w:ascii="Times New Roman" w:hAnsi="Times New Roman"/>
          <w:b/>
          <w:sz w:val="28"/>
        </w:rPr>
        <w:t>UNITED STATES SECURITIES AND EXCHANGE COMMISSION</w:t>
      </w:r>
    </w:p>
    <w:p>
      <w:pPr>
        <w:pStyle w:val="TextBody"/>
        <w:bidi w:val="0"/>
        <w:spacing w:before="0" w:after="24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40"/>
        <w:ind w:left="0" w:right="0" w:hanging="0"/>
        <w:jc w:val="center"/>
        <w:rPr>
          <w:rFonts w:ascii="Times New Roman" w:hAnsi="Times New Roman"/>
          <w:b/>
          <w:sz w:val="36"/>
        </w:rPr>
      </w:pPr>
      <w:r>
        <w:rPr>
          <w:rFonts w:ascii="Times New Roman" w:hAnsi="Times New Roman"/>
          <w:b/>
          <w:sz w:val="36"/>
        </w:rPr>
        <w:t>FORM 8-K</w:t>
      </w:r>
    </w:p>
    <w:p>
      <w:pPr>
        <w:pStyle w:val="TextBody"/>
        <w:bidi w:val="0"/>
        <w:spacing w:before="0" w:after="0"/>
        <w:ind w:left="144" w:right="0" w:hanging="144"/>
        <w:jc w:val="center"/>
        <w:rPr>
          <w:rFonts w:ascii="Times New Roman" w:hAnsi="Times New Roman"/>
          <w:b/>
          <w:sz w:val="20"/>
        </w:rPr>
      </w:pPr>
      <w:r>
        <w:rPr>
          <w:rFonts w:ascii="Times New Roman" w:hAnsi="Times New Roman"/>
          <w:b/>
          <w:sz w:val="20"/>
        </w:rPr>
        <w:t>CURRENT REPORT</w:t>
      </w:r>
    </w:p>
    <w:p>
      <w:pPr>
        <w:pStyle w:val="TextBody"/>
        <w:bidi w:val="0"/>
        <w:spacing w:before="0" w:after="0"/>
        <w:ind w:left="144" w:right="0" w:hanging="144"/>
        <w:jc w:val="center"/>
        <w:rPr>
          <w:rFonts w:ascii="Times New Roman" w:hAnsi="Times New Roman"/>
          <w:b/>
          <w:sz w:val="20"/>
        </w:rPr>
      </w:pPr>
      <w:r>
        <w:rPr>
          <w:rFonts w:ascii="Times New Roman" w:hAnsi="Times New Roman"/>
          <w:b/>
          <w:sz w:val="20"/>
        </w:rPr>
        <w:t>PURSUANT TO SECTION 13 OR 15(d) OF THE</w:t>
      </w:r>
    </w:p>
    <w:p>
      <w:pPr>
        <w:pStyle w:val="TextBody"/>
        <w:bidi w:val="0"/>
        <w:spacing w:before="0" w:after="0"/>
        <w:ind w:left="144" w:right="0" w:hanging="144"/>
        <w:jc w:val="center"/>
        <w:rPr>
          <w:rFonts w:ascii="Times New Roman" w:hAnsi="Times New Roman"/>
          <w:b/>
          <w:sz w:val="20"/>
        </w:rPr>
      </w:pPr>
      <w:r>
        <w:rPr>
          <w:rFonts w:ascii="Times New Roman" w:hAnsi="Times New Roman"/>
          <w:b/>
          <w:sz w:val="20"/>
        </w:rPr>
        <w:t>SECURITIES EXCHANGE ACT OF 1934</w:t>
      </w:r>
    </w:p>
    <w:p>
      <w:pPr>
        <w:pStyle w:val="TextBody"/>
        <w:bidi w:val="0"/>
        <w:spacing w:before="0" w:after="0"/>
        <w:ind w:left="144" w:right="0" w:hanging="144"/>
        <w:jc w:val="center"/>
        <w:rPr/>
      </w:pPr>
      <w:r>
        <w:rPr/>
        <w:t> </w:t>
      </w:r>
    </w:p>
    <w:p>
      <w:pPr>
        <w:pStyle w:val="TextBody"/>
        <w:bidi w:val="0"/>
        <w:spacing w:before="0" w:after="0"/>
        <w:ind w:left="144" w:right="0" w:hanging="144"/>
        <w:jc w:val="center"/>
        <w:rPr>
          <w:rFonts w:ascii="Times New Roman" w:hAnsi="Times New Roman"/>
          <w:sz w:val="20"/>
        </w:rPr>
      </w:pPr>
      <w:r>
        <w:rPr>
          <w:rFonts w:ascii="Times New Roman" w:hAnsi="Times New Roman"/>
          <w:sz w:val="20"/>
        </w:rPr>
        <w:t>Date of report (Date of earliest event reported):  September 23, 2026</w:t>
      </w:r>
    </w:p>
    <w:p>
      <w:pPr>
        <w:pStyle w:val="TextBody"/>
        <w:bidi w:val="0"/>
        <w:spacing w:before="0" w:after="0"/>
        <w:ind w:left="144" w:right="0" w:hanging="144"/>
        <w:jc w:val="center"/>
        <w:rPr/>
      </w:pPr>
      <w:r>
        <w:rPr/>
        <w:t> </w:t>
      </w:r>
    </w:p>
    <w:p>
      <w:pPr>
        <w:pStyle w:val="TextBody"/>
        <w:bidi w:val="0"/>
        <w:spacing w:before="0" w:after="0"/>
        <w:ind w:left="144" w:right="0" w:hanging="144"/>
        <w:jc w:val="center"/>
        <w:rPr>
          <w:rFonts w:ascii="Times New Roman" w:hAnsi="Times New Roman"/>
          <w:b/>
          <w:sz w:val="48"/>
        </w:rPr>
      </w:pPr>
      <w:r>
        <w:rPr>
          <w:rFonts w:ascii="Times New Roman" w:hAnsi="Times New Roman"/>
          <w:b/>
          <w:sz w:val="48"/>
        </w:rPr>
        <w:t>IONIS PHARMACEUTICALS, INC.</w:t>
      </w:r>
    </w:p>
    <w:p>
      <w:pPr>
        <w:pStyle w:val="TextBody"/>
        <w:bidi w:val="0"/>
        <w:spacing w:before="0" w:after="0"/>
        <w:ind w:left="144" w:right="0" w:hanging="144"/>
        <w:jc w:val="center"/>
        <w:rPr>
          <w:rFonts w:ascii="Times New Roman" w:hAnsi="Times New Roman"/>
          <w:sz w:val="20"/>
        </w:rPr>
      </w:pPr>
      <w:r>
        <w:rPr>
          <w:rFonts w:ascii="Times New Roman" w:hAnsi="Times New Roman"/>
          <w:sz w:val="20"/>
        </w:rPr>
        <w:t>(Exact Name of Registrant as Specified in Charter)</w:t>
      </w:r>
    </w:p>
    <w:p>
      <w:pPr>
        <w:pStyle w:val="TextBody"/>
        <w:bidi w:val="0"/>
        <w:spacing w:before="0" w:after="0"/>
        <w:ind w:left="144" w:right="0" w:hanging="144"/>
        <w:jc w:val="center"/>
        <w:rPr/>
      </w:pPr>
      <w:r>
        <w:rPr/>
        <w:t> </w:t>
      </w:r>
    </w:p>
    <w:p>
      <w:pPr>
        <w:pStyle w:val="TextBody"/>
        <w:bidi w:val="0"/>
        <w:spacing w:before="0" w:after="0"/>
        <w:ind w:left="144" w:right="0" w:hanging="144"/>
        <w:jc w:val="center"/>
        <w:rPr>
          <w:rFonts w:ascii="Times New Roman" w:hAnsi="Times New Roman"/>
          <w:b/>
          <w:sz w:val="20"/>
        </w:rPr>
      </w:pPr>
      <w:r>
        <w:rPr>
          <w:rFonts w:ascii="Times New Roman" w:hAnsi="Times New Roman"/>
          <w:b/>
          <w:sz w:val="20"/>
        </w:rPr>
        <w:t>Delaware</w:t>
      </w:r>
    </w:p>
    <w:p>
      <w:pPr>
        <w:pStyle w:val="TextBody"/>
        <w:bidi w:val="0"/>
        <w:spacing w:before="0" w:after="0"/>
        <w:ind w:left="144" w:right="0" w:hanging="144"/>
        <w:jc w:val="center"/>
        <w:rPr>
          <w:rFonts w:ascii="Times New Roman" w:hAnsi="Times New Roman"/>
          <w:sz w:val="20"/>
        </w:rPr>
      </w:pPr>
      <w:r>
        <w:rPr>
          <w:rFonts w:ascii="Times New Roman" w:hAnsi="Times New Roman"/>
          <w:sz w:val="20"/>
        </w:rPr>
        <w:t>(State or Other Jurisdiction of Incorporation)</w:t>
      </w:r>
    </w:p>
    <w:p>
      <w:pPr>
        <w:pStyle w:val="TextBody"/>
        <w:bidi w:val="0"/>
        <w:spacing w:before="0" w:after="0"/>
        <w:ind w:left="144" w:right="0" w:hanging="144"/>
        <w:jc w:val="center"/>
        <w:rPr/>
      </w:pPr>
      <w:r>
        <w:rPr/>
        <w:t> </w:t>
      </w:r>
    </w:p>
    <w:tbl>
      <w:tblPr>
        <w:tblW w:w="5000" w:type="pct"/>
        <w:jc w:val="left"/>
        <w:tblInd w:w="0" w:type="dxa"/>
        <w:tblLayout w:type="fixed"/>
        <w:tblCellMar>
          <w:top w:w="0" w:type="dxa"/>
          <w:left w:w="0" w:type="dxa"/>
          <w:bottom w:w="0" w:type="dxa"/>
          <w:right w:w="0" w:type="dxa"/>
        </w:tblCellMar>
      </w:tblPr>
      <w:tblGrid>
        <w:gridCol w:w="4035"/>
        <w:gridCol w:w="162"/>
        <w:gridCol w:w="6008"/>
      </w:tblGrid>
      <w:tr>
        <w:trPr/>
        <w:tc>
          <w:tcPr>
            <w:tcW w:w="403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008" w:type="dxa"/>
            <w:tcBorders/>
            <w:vAlign w:val="center"/>
          </w:tcPr>
          <w:p>
            <w:pPr>
              <w:pStyle w:val="TableContents"/>
              <w:bidi w:val="0"/>
              <w:spacing w:before="0" w:after="283"/>
              <w:jc w:val="left"/>
              <w:rPr/>
            </w:pPr>
            <w:r>
              <w:rPr/>
              <w:t> </w:t>
            </w:r>
          </w:p>
        </w:tc>
      </w:tr>
      <w:tr>
        <w:trPr/>
        <w:tc>
          <w:tcPr>
            <w:tcW w:w="4035" w:type="dxa"/>
            <w:tcBorders/>
          </w:tcPr>
          <w:p>
            <w:pPr>
              <w:pStyle w:val="TableContents"/>
              <w:bidi w:val="0"/>
              <w:spacing w:before="0" w:after="0"/>
              <w:ind w:left="0" w:right="0" w:hanging="0"/>
              <w:jc w:val="center"/>
              <w:rPr>
                <w:b/>
              </w:rPr>
            </w:pPr>
            <w:r>
              <w:rPr>
                <w:b/>
              </w:rPr>
              <w:t>000-19125</w:t>
            </w:r>
          </w:p>
        </w:tc>
        <w:tc>
          <w:tcPr>
            <w:tcW w:w="162" w:type="dxa"/>
            <w:tcBorders/>
          </w:tcPr>
          <w:p>
            <w:pPr>
              <w:pStyle w:val="TableContents"/>
              <w:bidi w:val="0"/>
              <w:spacing w:before="0" w:after="0"/>
              <w:ind w:left="0" w:right="0" w:hanging="0"/>
              <w:jc w:val="center"/>
              <w:rPr/>
            </w:pPr>
            <w:r>
              <w:rPr/>
              <w:t> </w:t>
            </w:r>
          </w:p>
        </w:tc>
        <w:tc>
          <w:tcPr>
            <w:tcW w:w="6008" w:type="dxa"/>
            <w:tcBorders/>
          </w:tcPr>
          <w:p>
            <w:pPr>
              <w:pStyle w:val="TableContents"/>
              <w:bidi w:val="0"/>
              <w:spacing w:before="0" w:after="0"/>
              <w:ind w:left="0" w:right="0" w:hanging="0"/>
              <w:jc w:val="center"/>
              <w:rPr>
                <w:b/>
              </w:rPr>
            </w:pPr>
            <w:r>
              <w:rPr>
                <w:b/>
              </w:rPr>
              <w:t>33-0336973</w:t>
            </w:r>
          </w:p>
        </w:tc>
      </w:tr>
      <w:tr>
        <w:trPr/>
        <w:tc>
          <w:tcPr>
            <w:tcW w:w="4035" w:type="dxa"/>
            <w:tcBorders/>
          </w:tcPr>
          <w:p>
            <w:pPr>
              <w:pStyle w:val="TableContents"/>
              <w:bidi w:val="0"/>
              <w:spacing w:before="0" w:after="0"/>
              <w:ind w:left="0" w:right="0" w:hanging="0"/>
              <w:jc w:val="center"/>
              <w:rPr/>
            </w:pPr>
            <w:r>
              <w:rPr/>
              <w:t>(Commission File No.)</w:t>
            </w:r>
          </w:p>
        </w:tc>
        <w:tc>
          <w:tcPr>
            <w:tcW w:w="162" w:type="dxa"/>
            <w:tcBorders/>
          </w:tcPr>
          <w:p>
            <w:pPr>
              <w:pStyle w:val="TableContents"/>
              <w:bidi w:val="0"/>
              <w:spacing w:before="0" w:after="0"/>
              <w:ind w:left="0" w:right="0" w:hanging="0"/>
              <w:jc w:val="center"/>
              <w:rPr/>
            </w:pPr>
            <w:r>
              <w:rPr/>
              <w:t> </w:t>
            </w:r>
          </w:p>
        </w:tc>
        <w:tc>
          <w:tcPr>
            <w:tcW w:w="6008" w:type="dxa"/>
            <w:tcBorders/>
          </w:tcPr>
          <w:p>
            <w:pPr>
              <w:pStyle w:val="TableContents"/>
              <w:bidi w:val="0"/>
              <w:spacing w:before="0" w:after="0"/>
              <w:ind w:left="0" w:right="0" w:hanging="0"/>
              <w:jc w:val="center"/>
              <w:rPr/>
            </w:pPr>
            <w:r>
              <w:rPr/>
              <w:t>(IRS Employer Identification No.)</w:t>
            </w:r>
          </w:p>
        </w:tc>
      </w:tr>
    </w:tbl>
    <w:p>
      <w:pPr>
        <w:pStyle w:val="TextBody"/>
        <w:bidi w:val="0"/>
        <w:spacing w:before="0" w:after="0"/>
        <w:ind w:left="0" w:right="0" w:hanging="0"/>
        <w:jc w:val="center"/>
        <w:rPr/>
      </w:pPr>
      <w:r>
        <w:rPr/>
        <w:t> </w:t>
      </w:r>
    </w:p>
    <w:p>
      <w:pPr>
        <w:pStyle w:val="TextBody"/>
        <w:bidi w:val="0"/>
        <w:spacing w:before="0" w:after="0"/>
        <w:ind w:left="144" w:right="0" w:hanging="144"/>
        <w:jc w:val="center"/>
        <w:rPr>
          <w:rFonts w:ascii="Times New Roman" w:hAnsi="Times New Roman"/>
          <w:b/>
          <w:sz w:val="20"/>
        </w:rPr>
      </w:pPr>
      <w:r>
        <w:rPr>
          <w:rFonts w:ascii="Times New Roman" w:hAnsi="Times New Roman"/>
          <w:b/>
          <w:sz w:val="20"/>
        </w:rPr>
        <w:t>2855 Gazelle Court</w:t>
      </w:r>
    </w:p>
    <w:p>
      <w:pPr>
        <w:pStyle w:val="TextBody"/>
        <w:bidi w:val="0"/>
        <w:spacing w:before="0" w:after="0"/>
        <w:ind w:left="144" w:right="0" w:hanging="144"/>
        <w:jc w:val="center"/>
        <w:rPr>
          <w:rFonts w:ascii="Times New Roman" w:hAnsi="Times New Roman"/>
          <w:b/>
          <w:sz w:val="20"/>
        </w:rPr>
      </w:pPr>
      <w:r>
        <w:rPr>
          <w:rFonts w:ascii="Times New Roman" w:hAnsi="Times New Roman"/>
          <w:b/>
          <w:sz w:val="20"/>
        </w:rPr>
        <w:t>Carlsbad, CA 92010</w:t>
      </w:r>
    </w:p>
    <w:p>
      <w:pPr>
        <w:pStyle w:val="TextBody"/>
        <w:bidi w:val="0"/>
        <w:spacing w:before="0" w:after="0"/>
        <w:ind w:left="144" w:right="0" w:hanging="144"/>
        <w:jc w:val="center"/>
        <w:rPr>
          <w:rFonts w:ascii="Times New Roman" w:hAnsi="Times New Roman"/>
          <w:sz w:val="20"/>
        </w:rPr>
      </w:pPr>
      <w:r>
        <w:rPr>
          <w:rFonts w:ascii="Times New Roman" w:hAnsi="Times New Roman"/>
          <w:sz w:val="20"/>
        </w:rPr>
        <w:t>(Address of Principal Executive Offices and Zip Code)</w:t>
      </w:r>
    </w:p>
    <w:p>
      <w:pPr>
        <w:pStyle w:val="TextBody"/>
        <w:bidi w:val="0"/>
        <w:spacing w:before="0" w:after="0"/>
        <w:ind w:left="144" w:right="0" w:hanging="144"/>
        <w:jc w:val="center"/>
        <w:rPr/>
      </w:pPr>
      <w:r>
        <w:rPr/>
        <w:t> </w:t>
      </w:r>
    </w:p>
    <w:p>
      <w:pPr>
        <w:pStyle w:val="TextBody"/>
        <w:bidi w:val="0"/>
        <w:spacing w:before="0" w:after="0"/>
        <w:ind w:left="0" w:right="0" w:hanging="0"/>
        <w:jc w:val="left"/>
        <w:rPr>
          <w:rFonts w:ascii="Times New Roman" w:hAnsi="Times New Roman"/>
          <w:sz w:val="20"/>
          <w:bdr w:val="single" w:sz="12" w:space="1" w:color="000000"/>
        </w:rPr>
      </w:pPr>
      <w:r>
        <w:rPr>
          <w:rFonts w:ascii="Times New Roman" w:hAnsi="Times New Roman"/>
          <w:sz w:val="20"/>
          <w:bdr w:val="single" w:sz="12" w:space="1" w:color="000000"/>
        </w:rPr>
        <w:t xml:space="preserve">Registrant’s telephone number, including area code: </w:t>
      </w:r>
      <w:r>
        <w:rPr>
          <w:rFonts w:ascii="Times New Roman" w:hAnsi="Times New Roman"/>
          <w:b/>
          <w:sz w:val="20"/>
          <w:bdr w:val="single" w:sz="12" w:space="1" w:color="000000"/>
        </w:rPr>
        <w:t>(760) 931-9200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120" w:after="283"/>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Soliciting material pursuant to Rule 14a-12 under the Exchange Act (17 CFR 240.14a-12)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pPr>
      <w:r>
        <w:rPr/>
        <w:t xml:space="preserve">  </w:t>
      </w:r>
    </w:p>
    <w:p>
      <w:pPr>
        <w:pStyle w:val="TextBody"/>
        <w:bidi w:val="0"/>
        <w:spacing w:before="0" w:after="240"/>
        <w:ind w:left="0" w:right="0" w:hanging="36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spacing w:before="0" w:after="0"/>
        <w:jc w:val="left"/>
        <w:rPr/>
      </w:pPr>
      <w:r>
        <w:rPr/>
        <w:t xml:space="preserve">  </w:t>
      </w:r>
    </w:p>
    <w:tbl>
      <w:tblPr>
        <w:tblW w:w="9700" w:type="dxa"/>
        <w:jc w:val="left"/>
        <w:tblInd w:w="0" w:type="dxa"/>
        <w:tblLayout w:type="fixed"/>
        <w:tblCellMar>
          <w:top w:w="28" w:type="dxa"/>
          <w:left w:w="28" w:type="dxa"/>
          <w:bottom w:w="28" w:type="dxa"/>
          <w:right w:w="28" w:type="dxa"/>
        </w:tblCellMar>
      </w:tblPr>
      <w:tblGrid>
        <w:gridCol w:w="3331"/>
        <w:gridCol w:w="146"/>
        <w:gridCol w:w="1666"/>
        <w:gridCol w:w="146"/>
        <w:gridCol w:w="4411"/>
      </w:tblGrid>
      <w:tr>
        <w:trPr/>
        <w:tc>
          <w:tcPr>
            <w:tcW w:w="3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r>
      <w:tr>
        <w:trPr/>
        <w:tc>
          <w:tcPr>
            <w:tcW w:w="333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Title of each class</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Trading symbol</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Name of each exchange on which registered</w:t>
            </w:r>
            <w:r>
              <w:rPr/>
              <w:t xml:space="preserve"> </w:t>
            </w:r>
          </w:p>
        </w:tc>
      </w:tr>
      <w:tr>
        <w:trPr/>
        <w:tc>
          <w:tcPr>
            <w:tcW w:w="333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color w:val="000000"/>
              </w:rPr>
              <w:t>Common Stock, $.001 Par Value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color w:val="000000"/>
              </w:rPr>
              <w:t>“</w:t>
            </w:r>
            <w:r>
              <w:rPr>
                <w:color w:val="000000"/>
              </w:rPr>
              <w:t>ION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op w:val="single" w:sz="8" w:space="0" w:color="000000"/>
            </w:tcBorders>
            <w:tcMar>
              <w:left w:w="0" w:type="dxa"/>
              <w:bottom w:w="0" w:type="dxa"/>
              <w:right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(Section 230.405 of this chapter) or Rule 12b-2 of the Securities Exchange Act of 1934 (Section 240.12b-2 of this chapter). </w:t>
      </w:r>
    </w:p>
    <w:tbl>
      <w:tblPr>
        <w:tblW w:w="2938" w:type="dxa"/>
        <w:jc w:val="left"/>
        <w:tblInd w:w="0" w:type="dxa"/>
        <w:tblLayout w:type="fixed"/>
        <w:tblCellMar>
          <w:top w:w="28" w:type="dxa"/>
          <w:left w:w="28" w:type="dxa"/>
          <w:bottom w:w="28" w:type="dxa"/>
          <w:right w:w="28" w:type="dxa"/>
        </w:tblCellMar>
      </w:tblPr>
      <w:tblGrid>
        <w:gridCol w:w="161"/>
        <w:gridCol w:w="2356"/>
        <w:gridCol w:w="421"/>
      </w:tblGrid>
      <w:tr>
        <w:trPr/>
        <w:tc>
          <w:tcPr>
            <w:tcW w:w="161" w:type="dxa"/>
            <w:tcBorders/>
            <w:vAlign w:val="center"/>
          </w:tcPr>
          <w:p>
            <w:pPr>
              <w:pStyle w:val="TableContents"/>
              <w:bidi w:val="0"/>
              <w:spacing w:before="0" w:after="283"/>
              <w:jc w:val="left"/>
              <w:rPr/>
            </w:pPr>
            <w:r>
              <w:rPr/>
              <w:t> </w:t>
            </w:r>
          </w:p>
        </w:tc>
        <w:tc>
          <w:tcPr>
            <w:tcW w:w="235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0"/>
              <w:jc w:val="right"/>
              <w:rPr>
                <w:sz w:val="20"/>
              </w:rPr>
            </w:pPr>
            <w:r>
              <w:rPr>
                <w:sz w:val="20"/>
              </w:rPr>
              <w:t xml:space="preserve">Emerging growth company </w:t>
            </w:r>
          </w:p>
        </w:tc>
        <w:tc>
          <w:tcPr>
            <w:tcW w:w="421" w:type="dxa"/>
            <w:tcBorders/>
            <w:tcMar>
              <w:top w:w="0" w:type="dxa"/>
              <w:left w:w="0" w:type="dxa"/>
              <w:bottom w:w="0" w:type="dxa"/>
              <w:right w:w="0" w:type="dxa"/>
            </w:tcMar>
            <w:vAlign w:val="center"/>
          </w:tcPr>
          <w:p>
            <w:pPr>
              <w:pStyle w:val="TableContents"/>
              <w:bidi w:val="0"/>
              <w:spacing w:before="0" w:after="0"/>
              <w:jc w:val="right"/>
              <w:rPr/>
            </w:pPr>
            <w:r>
              <w:rPr>
                <w:color w:val="000000"/>
              </w:rPr>
              <w:t>☐</w:t>
            </w:r>
            <w:r>
              <w:rPr/>
              <w:t xml:space="preserve"> </w:t>
            </w:r>
          </w:p>
        </w:tc>
      </w:tr>
    </w:tbl>
    <w:p>
      <w:pPr>
        <w:pStyle w:val="TextBody"/>
        <w:bidi w:val="0"/>
        <w:spacing w:before="0" w:after="24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240"/>
        <w:ind w:left="0" w:right="0" w:hanging="720"/>
        <w:jc w:val="both"/>
        <w:rPr>
          <w:rFonts w:ascii="Times New Roman" w:hAnsi="Times New Roman"/>
          <w:sz w:val="20"/>
        </w:rPr>
      </w:pPr>
      <w:r>
        <w:rPr>
          <w:rFonts w:ascii="Times New Roman" w:hAnsi="Times New Roman"/>
          <w:b/>
          <w:sz w:val="20"/>
        </w:rPr>
        <w:t>Regulation FD Disclosure.</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7.01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7.01</w:t>
                      </w:r>
                      <w:r>
                        <w:rPr/>
                        <w:t xml:space="preserve"> </w:t>
                      </w:r>
                    </w:p>
                  </w:txbxContent>
                </v:textbox>
                <w10:wrap type="square" side="right"/>
              </v:rect>
            </w:pict>
          </mc:Fallback>
        </mc:AlternateContent>
      </w:r>
    </w:p>
    <w:p>
      <w:pPr>
        <w:pStyle w:val="TextBody"/>
        <w:bidi w:val="0"/>
        <w:spacing w:before="0" w:after="240"/>
        <w:jc w:val="both"/>
        <w:rPr>
          <w:rFonts w:ascii="Times New Roman" w:hAnsi="Times New Roman"/>
          <w:sz w:val="20"/>
        </w:rPr>
      </w:pPr>
      <w:r>
        <w:rPr>
          <w:rFonts w:ascii="Times New Roman" w:hAnsi="Times New Roman"/>
          <w:sz w:val="20"/>
        </w:rPr>
        <w:t>On September 23, 2026, Ionis Pharmaceuticals, Inc. (“</w:t>
      </w:r>
      <w:r>
        <w:rPr>
          <w:rFonts w:ascii="Times New Roman" w:hAnsi="Times New Roman"/>
          <w:b/>
          <w:i/>
          <w:sz w:val="20"/>
        </w:rPr>
        <w:t>Ionis</w:t>
      </w:r>
      <w:r>
        <w:rPr>
          <w:rFonts w:ascii="Times New Roman" w:hAnsi="Times New Roman"/>
          <w:sz w:val="20"/>
        </w:rPr>
        <w:t>”) issued a press release announcing that Ionis and its partner, Roche Holding Ltd. (“</w:t>
      </w:r>
      <w:r>
        <w:rPr>
          <w:rFonts w:ascii="Times New Roman" w:hAnsi="Times New Roman"/>
          <w:b/>
          <w:i/>
          <w:sz w:val="20"/>
        </w:rPr>
        <w:t>Roche</w:t>
      </w:r>
      <w:r>
        <w:rPr>
          <w:rFonts w:ascii="Times New Roman" w:hAnsi="Times New Roman"/>
          <w:sz w:val="20"/>
        </w:rPr>
        <w:t>”), reported positive prespecified interim results from the ongoing Phase 3 IMAgINATION study evaluating investigational sefaxersen in adults with primary IgA nephropathy (“</w:t>
      </w:r>
      <w:r>
        <w:rPr>
          <w:rFonts w:ascii="Times New Roman" w:hAnsi="Times New Roman"/>
          <w:b/>
          <w:i/>
          <w:sz w:val="20"/>
        </w:rPr>
        <w:t>IgAN</w:t>
      </w:r>
      <w:r>
        <w:rPr>
          <w:rFonts w:ascii="Times New Roman" w:hAnsi="Times New Roman"/>
          <w:sz w:val="20"/>
        </w:rPr>
        <w:t xml:space="preserve">”). A copy of the press release is furnished as Exhibit 99.1 to this Current Report on Form 8-K. </w:t>
      </w:r>
    </w:p>
    <w:p>
      <w:pPr>
        <w:pStyle w:val="TextBody"/>
        <w:bidi w:val="0"/>
        <w:spacing w:before="0" w:after="240"/>
        <w:jc w:val="both"/>
        <w:rPr>
          <w:rFonts w:ascii="Times New Roman" w:hAnsi="Times New Roman"/>
          <w:sz w:val="20"/>
        </w:rPr>
      </w:pPr>
      <w:r>
        <w:rPr>
          <w:rFonts w:ascii="Times New Roman" w:hAnsi="Times New Roman"/>
          <w:sz w:val="20"/>
        </w:rPr>
        <w:t>The information in this Item 7.01 and the exhibit attached hereto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xml:space="preserve">”),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240"/>
        <w:ind w:left="0" w:right="0" w:hanging="720"/>
        <w:jc w:val="both"/>
        <w:rPr>
          <w:rFonts w:ascii="Times New Roman" w:hAnsi="Times New Roman"/>
          <w:sz w:val="20"/>
        </w:rPr>
      </w:pPr>
      <w:r>
        <w:rPr>
          <w:rFonts w:ascii="Times New Roman" w:hAnsi="Times New Roman"/>
          <w:b/>
          <w:sz w:val="20"/>
        </w:rPr>
        <w:t>Other Events.</w:t>
      </w:r>
      <w:r>
        <w:rPr>
          <w:rFonts w:ascii="Times New Roman" w:hAnsi="Times New Roman"/>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8.01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8.01</w:t>
                      </w:r>
                      <w:r>
                        <w:rPr/>
                        <w:t xml:space="preserve"> </w:t>
                      </w:r>
                    </w:p>
                  </w:txbxContent>
                </v:textbox>
                <w10:wrap type="square" side="right"/>
              </v:rect>
            </w:pict>
          </mc:Fallback>
        </mc:AlternateContent>
      </w:r>
    </w:p>
    <w:p>
      <w:pPr>
        <w:pStyle w:val="TextBody"/>
        <w:bidi w:val="0"/>
        <w:spacing w:before="0" w:after="240"/>
        <w:jc w:val="both"/>
        <w:rPr>
          <w:rFonts w:ascii="Times New Roman" w:hAnsi="Times New Roman"/>
          <w:sz w:val="20"/>
        </w:rPr>
      </w:pPr>
      <w:r>
        <w:rPr>
          <w:rFonts w:ascii="Times New Roman" w:hAnsi="Times New Roman"/>
          <w:sz w:val="20"/>
        </w:rPr>
        <w:t>On September 23, 2026, Ionis and its partner, Roche, announced positive prespecified interim results from the ongoing Phase 3 IMAgINATION study evaluating investigational sefaxersen in adults with IgAN. The study met its primary endpoint with sefaxersen achieving statistically significant and clinically meaningful improvements in proteinuria reduction, compared to placebo at 37 weeks, as measured by 24-hour urine protein-to-creatinine ratio (“</w:t>
      </w:r>
      <w:r>
        <w:rPr>
          <w:rFonts w:ascii="Times New Roman" w:hAnsi="Times New Roman"/>
          <w:b/>
          <w:i/>
          <w:sz w:val="20"/>
        </w:rPr>
        <w:t>UPCR</w:t>
      </w:r>
      <w:r>
        <w:rPr>
          <w:rFonts w:ascii="Times New Roman" w:hAnsi="Times New Roman"/>
          <w:sz w:val="20"/>
        </w:rPr>
        <w:t>”). Proteinuria is a key indicator of kidney damage, and a reduction in UPCR is strongly associated with the preservation of long-term kidney function</w:t>
      </w:r>
      <w:r>
        <w:rPr>
          <w:rFonts w:ascii="Times New Roman" w:hAnsi="Times New Roman"/>
          <w:i/>
          <w:sz w:val="20"/>
        </w:rPr>
        <w:t>.</w:t>
      </w:r>
      <w:r>
        <w:rPr>
          <w:rFonts w:ascii="Times New Roman" w:hAnsi="Times New Roman"/>
          <w:sz w:val="20"/>
        </w:rPr>
        <w:t xml:space="preserve"> Sefaxersen is a once-monthly subcutaneous injection designed to enable self-administration for people with IgAN. The safety and tolerability profile of sefaxersen was consistent with previously reported data, with no new safety signals identified. </w:t>
      </w:r>
    </w:p>
    <w:p>
      <w:pPr>
        <w:pStyle w:val="TextBody"/>
        <w:bidi w:val="0"/>
        <w:spacing w:before="0" w:after="0"/>
        <w:jc w:val="both"/>
        <w:rPr>
          <w:rFonts w:ascii="Times New Roman" w:hAnsi="Times New Roman"/>
          <w:sz w:val="20"/>
        </w:rPr>
      </w:pPr>
      <w:r>
        <w:rPr>
          <w:rFonts w:ascii="Times New Roman" w:hAnsi="Times New Roman"/>
          <w:sz w:val="20"/>
        </w:rPr>
        <w:t xml:space="preserve">The IMAgINATION study will continue as a blinded study to evaluate the change in kidney function over two years, as measured by estimated glomerular filtration rate at week 105. Interim analysis data will be presented at an upcoming medical congress and shared with health authorities, with the goal of bringing this treatment to patients as soon as possible.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IgAN, also known as Berger’s disease, is a chronic and progressive autoimmune kidney disease that leads to end-stage kidney disease in up to 50% of patients within 20 years after diagnosis. Typically diagnosed before the age of 40 years, it affects at least 25 adults per million worldwide each year.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Roche licensed sefaxersen from Ionis for the treatment of complement-mediated diseases. Under the terms of the agreement, </w:t>
      </w:r>
      <w:r>
        <w:rPr>
          <w:rFonts w:ascii="Times New Roman" w:hAnsi="Times New Roman"/>
          <w:color w:val="000000"/>
          <w:sz w:val="20"/>
        </w:rPr>
        <w:t>Ionis received an upfront payment, license fee and development milestone payments and is eligible to receive regulatory and sales milestone payments as well as tiered royalties on net sales of sefaxersen.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02" w:before="0" w:after="0"/>
        <w:jc w:val="left"/>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w:t>
      </w:r>
    </w:p>
    <w:p>
      <w:pPr>
        <w:pStyle w:val="TextBody"/>
        <w:bidi w:val="0"/>
        <w:spacing w:lineRule="auto" w:line="302"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report includes forward-looking statements regarding Ionis’ business and the therapeutic and commercial potential of sefaxersen,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 In this report, unless the context requires otherwise, “Ionis,” “Company,” “we,” “our” and “us” all refer to Ionis Pharmaceuticals, Inc. and its subsidiaries. </w:t>
      </w:r>
    </w:p>
    <w:p>
      <w:pPr>
        <w:pStyle w:val="TextBody"/>
        <w:bidi w:val="0"/>
        <w:spacing w:lineRule="auto" w:line="302" w:before="240" w:after="283"/>
        <w:ind w:left="0" w:right="0" w:hanging="720"/>
        <w:jc w:val="left"/>
        <w:rPr>
          <w:rFonts w:ascii="Times New Roman" w:hAnsi="Times New Roman"/>
          <w:sz w:val="20"/>
        </w:rPr>
      </w:pPr>
      <w:r>
        <w:rPr>
          <w:rFonts w:ascii="Times New Roman" w:hAnsi="Times New Roman"/>
          <w:b/>
          <w:sz w:val="20"/>
        </w:rPr>
        <w:t>Financial Statements and Exhibits.</w:t>
      </w:r>
      <w:r>
        <w:rPr>
          <w:rFonts w:ascii="Times New Roman" w:hAnsi="Times New Roman"/>
          <w:sz w:val="20"/>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9.01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9.01</w:t>
                      </w:r>
                      <w:r>
                        <w:rPr/>
                        <w:t xml:space="preserve"> </w:t>
                      </w:r>
                    </w:p>
                  </w:txbxContent>
                </v:textbox>
                <w10:wrap type="square" side="right"/>
              </v:rect>
            </w:pict>
          </mc:Fallback>
        </mc:AlternateContent>
      </w:r>
    </w:p>
    <w:p>
      <w:pPr>
        <w:pStyle w:val="TextBody"/>
        <w:bidi w:val="0"/>
        <w:spacing w:lineRule="auto" w:line="302" w:before="0" w:after="0"/>
        <w:jc w:val="left"/>
        <w:rPr/>
      </w:pPr>
      <w:r>
        <w:rPr/>
        <w:t xml:space="preserve">  </w:t>
      </w:r>
    </w:p>
    <w:p>
      <w:pPr>
        <w:pStyle w:val="TextBody"/>
        <w:bidi w:val="0"/>
        <w:spacing w:lineRule="auto" w:line="302" w:before="0" w:after="0"/>
        <w:jc w:val="left"/>
        <w:rPr>
          <w:rFonts w:ascii="Times New Roman" w:hAnsi="Times New Roman"/>
          <w:sz w:val="20"/>
        </w:rPr>
      </w:pPr>
      <w:r>
        <w:rPr>
          <w:rFonts w:ascii="Times New Roman" w:hAnsi="Times New Roman"/>
          <w:sz w:val="20"/>
        </w:rPr>
        <w:t xml:space="preserve">(d) Exhibits.   </w:t>
      </w:r>
    </w:p>
    <w:p>
      <w:pPr>
        <w:pStyle w:val="TextBody"/>
        <w:bidi w:val="0"/>
        <w:spacing w:lineRule="auto" w:line="302" w:before="0" w:after="0"/>
        <w:jc w:val="left"/>
        <w:rPr/>
      </w:pPr>
      <w:r>
        <w:rPr/>
        <w:t xml:space="preserve">  </w:t>
      </w:r>
    </w:p>
    <w:tbl>
      <w:tblPr>
        <w:tblW w:w="9212" w:type="dxa"/>
        <w:jc w:val="left"/>
        <w:tblInd w:w="0" w:type="dxa"/>
        <w:tblLayout w:type="fixed"/>
        <w:tblCellMar>
          <w:top w:w="28" w:type="dxa"/>
          <w:left w:w="28" w:type="dxa"/>
          <w:bottom w:w="28" w:type="dxa"/>
          <w:right w:w="28" w:type="dxa"/>
        </w:tblCellMar>
      </w:tblPr>
      <w:tblGrid>
        <w:gridCol w:w="1351"/>
        <w:gridCol w:w="7861"/>
      </w:tblGrid>
      <w:tr>
        <w:trPr/>
        <w:tc>
          <w:tcPr>
            <w:tcW w:w="1351" w:type="dxa"/>
            <w:tcBorders/>
            <w:vAlign w:val="center"/>
          </w:tcPr>
          <w:p>
            <w:pPr>
              <w:pStyle w:val="TableContents"/>
              <w:bidi w:val="0"/>
              <w:spacing w:before="0" w:after="283"/>
              <w:jc w:val="left"/>
              <w:rPr/>
            </w:pPr>
            <w:r>
              <w:rPr/>
              <w:t> </w:t>
            </w:r>
          </w:p>
        </w:tc>
        <w:tc>
          <w:tcPr>
            <w:tcW w:w="7861" w:type="dxa"/>
            <w:tcBorders/>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0"/>
              <w:jc w:val="center"/>
              <w:rPr/>
            </w:pPr>
            <w:r>
              <w:rPr>
                <w:b/>
                <w:u w:val="single"/>
              </w:rPr>
              <w:t>Exhibit No.</w:t>
            </w:r>
            <w:r>
              <w:rPr/>
              <w:t xml:space="preserve"> </w:t>
            </w:r>
          </w:p>
        </w:tc>
        <w:tc>
          <w:tcPr>
            <w:tcW w:w="7861" w:type="dxa"/>
            <w:tcBorders/>
            <w:tcMar>
              <w:top w:w="0" w:type="dxa"/>
              <w:left w:w="0" w:type="dxa"/>
              <w:bottom w:w="0" w:type="dxa"/>
              <w:right w:w="0" w:type="dxa"/>
            </w:tcMar>
            <w:vAlign w:val="center"/>
          </w:tcPr>
          <w:p>
            <w:pPr>
              <w:pStyle w:val="TableContents"/>
              <w:bidi w:val="0"/>
              <w:spacing w:before="0" w:after="0"/>
              <w:jc w:val="left"/>
              <w:rPr/>
            </w:pPr>
            <w:r>
              <w:rPr>
                <w:b/>
                <w:u w:val="single"/>
              </w:rPr>
              <w:t>Description</w:t>
            </w:r>
            <w:r>
              <w:rPr/>
              <w:t xml:space="preserve"> </w:t>
            </w:r>
          </w:p>
        </w:tc>
      </w:tr>
      <w:tr>
        <w:trPr/>
        <w:tc>
          <w:tcPr>
            <w:tcW w:w="1351" w:type="dxa"/>
            <w:tcBorders/>
            <w:tcMar>
              <w:top w:w="0" w:type="dxa"/>
              <w:left w:w="0" w:type="dxa"/>
              <w:bottom w:w="0" w:type="dxa"/>
              <w:right w:w="0" w:type="dxa"/>
            </w:tcMar>
            <w:vAlign w:val="center"/>
          </w:tcPr>
          <w:p>
            <w:pPr>
              <w:pStyle w:val="TableContents"/>
              <w:bidi w:val="0"/>
              <w:spacing w:before="0" w:after="0"/>
              <w:jc w:val="center"/>
              <w:rPr/>
            </w:pPr>
            <w:hyperlink w:anchor="ef20082626_ex99-1.htm">
              <w:r>
                <w:rPr>
                  <w:rStyle w:val="InternetLink"/>
                </w:rPr>
                <w:t>99.1</w:t>
              </w:r>
            </w:hyperlink>
            <w:r>
              <w:rPr/>
              <w:t xml:space="preserve"> </w:t>
            </w:r>
          </w:p>
        </w:tc>
        <w:tc>
          <w:tcPr>
            <w:tcW w:w="7861" w:type="dxa"/>
            <w:tcBorders/>
            <w:tcMar>
              <w:top w:w="0" w:type="dxa"/>
              <w:left w:w="0" w:type="dxa"/>
              <w:bottom w:w="0" w:type="dxa"/>
              <w:right w:w="0" w:type="dxa"/>
            </w:tcMar>
            <w:vAlign w:val="center"/>
          </w:tcPr>
          <w:p>
            <w:pPr>
              <w:pStyle w:val="TableContents"/>
              <w:bidi w:val="0"/>
              <w:spacing w:before="0" w:after="0"/>
              <w:jc w:val="left"/>
              <w:rPr/>
            </w:pPr>
            <w:r>
              <w:rPr/>
              <w:t xml:space="preserve">Press Release dated September 23, 2026.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8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1351" w:type="dxa"/>
            <w:tcBorders/>
            <w:tcMar>
              <w:top w:w="0" w:type="dxa"/>
              <w:left w:w="0" w:type="dxa"/>
              <w:bottom w:w="0" w:type="dxa"/>
              <w:right w:w="0" w:type="dxa"/>
            </w:tcMar>
            <w:vAlign w:val="center"/>
          </w:tcPr>
          <w:p>
            <w:pPr>
              <w:pStyle w:val="TableContents"/>
              <w:bidi w:val="0"/>
              <w:spacing w:before="0" w:after="0"/>
              <w:jc w:val="center"/>
              <w:rPr/>
            </w:pPr>
            <w:r>
              <w:rPr/>
              <w:t xml:space="preserve">104 </w:t>
            </w:r>
          </w:p>
        </w:tc>
        <w:tc>
          <w:tcPr>
            <w:tcW w:w="7861" w:type="dxa"/>
            <w:tcBorders/>
            <w:tcMar>
              <w:top w:w="0" w:type="dxa"/>
              <w:left w:w="0" w:type="dxa"/>
              <w:bottom w:w="0" w:type="dxa"/>
              <w:right w:w="0" w:type="dxa"/>
            </w:tcMar>
            <w:vAlign w:val="center"/>
          </w:tcPr>
          <w:p>
            <w:pPr>
              <w:pStyle w:val="TableContents"/>
              <w:bidi w:val="0"/>
              <w:spacing w:before="0" w:after="0"/>
              <w:jc w:val="left"/>
              <w:rPr/>
            </w:pPr>
            <w:r>
              <w:rPr/>
              <w:t xml:space="preserve">Cover Page Interactive Data File (embedded within the Inline XBRL document). </w:t>
            </w:r>
          </w:p>
        </w:tc>
      </w:tr>
    </w:tbl>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240"/>
        <w:jc w:val="center"/>
        <w:rPr>
          <w:rFonts w:ascii="Times New Roman" w:hAnsi="Times New Roman"/>
          <w:b/>
          <w:sz w:val="20"/>
        </w:rPr>
      </w:pPr>
      <w:r>
        <w:rPr>
          <w:rFonts w:ascii="Times New Roman" w:hAnsi="Times New Roman"/>
          <w:b/>
          <w:sz w:val="20"/>
        </w:rPr>
        <w:t xml:space="preserve">SIGNATURE </w:t>
      </w:r>
    </w:p>
    <w:p>
      <w:pPr>
        <w:pStyle w:val="TextBody"/>
        <w:bidi w:val="0"/>
        <w:spacing w:before="0" w:after="360"/>
        <w:ind w:left="0" w:right="0" w:firstLine="720"/>
        <w:jc w:val="both"/>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tbl>
      <w:tblPr>
        <w:tblW w:w="8493" w:type="dxa"/>
        <w:jc w:val="left"/>
        <w:tblInd w:w="0" w:type="dxa"/>
        <w:tblLayout w:type="fixed"/>
        <w:tblCellMar>
          <w:top w:w="28" w:type="dxa"/>
          <w:left w:w="28" w:type="dxa"/>
          <w:bottom w:w="28" w:type="dxa"/>
          <w:right w:w="28" w:type="dxa"/>
        </w:tblCellMar>
      </w:tblPr>
      <w:tblGrid>
        <w:gridCol w:w="2416"/>
        <w:gridCol w:w="451"/>
        <w:gridCol w:w="5626"/>
      </w:tblGrid>
      <w:tr>
        <w:trPr/>
        <w:tc>
          <w:tcPr>
            <w:tcW w:w="241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283"/>
              <w:jc w:val="left"/>
              <w:rPr/>
            </w:pPr>
            <w:r>
              <w:rPr/>
              <w:t> </w:t>
            </w:r>
          </w:p>
        </w:tc>
      </w:tr>
      <w:tr>
        <w:trPr/>
        <w:tc>
          <w:tcPr>
            <w:tcW w:w="2416" w:type="dxa"/>
            <w:tcBorders/>
            <w:vAlign w:val="center"/>
          </w:tcPr>
          <w:p>
            <w:pPr>
              <w:pStyle w:val="TableContents"/>
              <w:bidi w:val="0"/>
              <w:spacing w:before="0" w:after="283"/>
              <w:jc w:val="left"/>
              <w:rPr/>
            </w:pPr>
            <w:r>
              <w:rPr/>
              <w:t> </w:t>
            </w:r>
          </w:p>
        </w:tc>
        <w:tc>
          <w:tcPr>
            <w:tcW w:w="6077" w:type="dxa"/>
            <w:gridSpan w:val="2"/>
            <w:tcBorders/>
            <w:vAlign w:val="center"/>
          </w:tcPr>
          <w:p>
            <w:pPr>
              <w:pStyle w:val="TableContents"/>
              <w:bidi w:val="0"/>
              <w:spacing w:before="0" w:after="0"/>
              <w:jc w:val="left"/>
              <w:rPr>
                <w:b/>
              </w:rPr>
            </w:pPr>
            <w:r>
              <w:rPr>
                <w:b/>
              </w:rPr>
              <w:t xml:space="preserve">IONIS PHARMACEUTICALS, INC. </w:t>
            </w:r>
          </w:p>
        </w:tc>
      </w:tr>
      <w:tr>
        <w:trPr/>
        <w:tc>
          <w:tcPr>
            <w:tcW w:w="2416" w:type="dxa"/>
            <w:tcBorders/>
            <w:vAlign w:val="center"/>
          </w:tcPr>
          <w:p>
            <w:pPr>
              <w:pStyle w:val="TableContents"/>
              <w:bidi w:val="0"/>
              <w:spacing w:before="0" w:after="283"/>
              <w:jc w:val="left"/>
              <w:rPr/>
            </w:pPr>
            <w:r>
              <w:rPr/>
              <w:t> </w:t>
            </w:r>
          </w:p>
        </w:tc>
        <w:tc>
          <w:tcPr>
            <w:tcW w:w="6077" w:type="dxa"/>
            <w:gridSpan w:val="2"/>
            <w:tcBorders/>
            <w:vAlign w:val="center"/>
          </w:tcPr>
          <w:p>
            <w:pPr>
              <w:pStyle w:val="TableContents"/>
              <w:bidi w:val="0"/>
              <w:spacing w:before="0" w:after="283"/>
              <w:jc w:val="left"/>
              <w:rPr/>
            </w:pPr>
            <w:r>
              <w:rPr/>
              <w:t> </w:t>
            </w:r>
          </w:p>
        </w:tc>
      </w:tr>
      <w:tr>
        <w:trPr/>
        <w:tc>
          <w:tcPr>
            <w:tcW w:w="2416" w:type="dxa"/>
            <w:tcBorders/>
            <w:vAlign w:val="center"/>
          </w:tcPr>
          <w:p>
            <w:pPr>
              <w:pStyle w:val="TableContents"/>
              <w:bidi w:val="0"/>
              <w:spacing w:before="0" w:after="0"/>
              <w:jc w:val="left"/>
              <w:rPr>
                <w:sz w:val="20"/>
              </w:rPr>
            </w:pPr>
            <w:r>
              <w:rPr>
                <w:sz w:val="20"/>
              </w:rPr>
              <w:t xml:space="preserve">Dated:  September 23, 2026 </w:t>
            </w:r>
          </w:p>
        </w:tc>
        <w:tc>
          <w:tcPr>
            <w:tcW w:w="451" w:type="dxa"/>
            <w:tcBorders/>
            <w:vAlign w:val="center"/>
          </w:tcPr>
          <w:p>
            <w:pPr>
              <w:pStyle w:val="TableContents"/>
              <w:bidi w:val="0"/>
              <w:spacing w:before="0" w:after="0"/>
              <w:jc w:val="left"/>
              <w:rPr>
                <w:sz w:val="20"/>
              </w:rPr>
            </w:pPr>
            <w:r>
              <w:rPr>
                <w:sz w:val="20"/>
              </w:rPr>
              <w:t xml:space="preserve">By: </w:t>
            </w:r>
          </w:p>
        </w:tc>
        <w:tc>
          <w:tcPr>
            <w:tcW w:w="5626" w:type="dxa"/>
            <w:tcBorders>
              <w:bottom w:val="single" w:sz="12" w:space="0" w:color="000000"/>
            </w:tcBorders>
            <w:tcMar>
              <w:top w:w="0" w:type="dxa"/>
              <w:left w:w="0" w:type="dxa"/>
              <w:right w:w="0" w:type="dxa"/>
            </w:tcMar>
            <w:vAlign w:val="center"/>
          </w:tcPr>
          <w:p>
            <w:pPr>
              <w:pStyle w:val="TableContents"/>
              <w:bidi w:val="0"/>
              <w:spacing w:before="0" w:after="0"/>
              <w:jc w:val="left"/>
              <w:rPr>
                <w:sz w:val="20"/>
              </w:rPr>
            </w:pPr>
            <w:r>
              <w:rPr>
                <w:sz w:val="20"/>
              </w:rPr>
              <w:t xml:space="preserve">/s/ Patrick R. O’Neil </w:t>
            </w:r>
          </w:p>
        </w:tc>
      </w:tr>
      <w:tr>
        <w:trPr/>
        <w:tc>
          <w:tcPr>
            <w:tcW w:w="241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0"/>
              <w:jc w:val="left"/>
              <w:rPr>
                <w:b/>
                <w:sz w:val="20"/>
              </w:rPr>
            </w:pPr>
            <w:r>
              <w:rPr>
                <w:b/>
                <w:sz w:val="20"/>
              </w:rPr>
              <w:t>PATRICK R. O’NEIL</w:t>
            </w:r>
          </w:p>
        </w:tc>
      </w:tr>
      <w:tr>
        <w:trPr/>
        <w:tc>
          <w:tcPr>
            <w:tcW w:w="241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0"/>
              <w:jc w:val="left"/>
              <w:rPr>
                <w:sz w:val="20"/>
              </w:rPr>
            </w:pPr>
            <w:r>
              <w:rPr>
                <w:sz w:val="20"/>
              </w:rPr>
              <w:t xml:space="preserve">Executive Vice President, Chief Legal Officer and General Counsel </w:t>
            </w:r>
          </w:p>
        </w:tc>
      </w:tr>
    </w:tbl>
    <w:p>
      <w:pPr>
        <w:pStyle w:val="TextBody"/>
        <w:bidi w:val="0"/>
        <w:spacing w:before="0" w:after="0"/>
        <w:jc w:val="both"/>
        <w:rPr/>
      </w:pPr>
      <w:r>
        <w:rPr/>
        <w:t>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82626_ex99-1.htm"/>
      <w:bookmarkStart w:id="5" w:name="ksef20082626_ex991"/>
      <w:bookmarkStart w:id="6" w:name="ef20082626_ex99-1.htm"/>
      <w:bookmarkStart w:id="7" w:name="ksef20082626_ex991"/>
      <w:bookmarkEnd w:id="6"/>
      <w:bookmarkEnd w:id="7"/>
      <w:r>
        <w:br w:type="page"/>
      </w:r>
    </w:p>
    <w:p>
      <w:pPr>
        <w:pStyle w:val="TextBody"/>
        <w:bidi w:val="0"/>
        <w:spacing w:before="0" w:after="0"/>
        <w:jc w:val="right"/>
        <w:rPr>
          <w:b/>
          <w:sz w:val="20"/>
        </w:rPr>
      </w:pPr>
      <w:r>
        <w:rPr>
          <w:b/>
          <w:sz w:val="20"/>
        </w:rPr>
        <w:t>Exhibit 99.1</w:t>
      </w:r>
    </w:p>
    <w:p>
      <w:pPr>
        <w:pStyle w:val="TextBody"/>
        <w:bidi w:val="0"/>
        <w:spacing w:before="0" w:after="0"/>
        <w:jc w:val="left"/>
        <w:rPr/>
      </w:pPr>
      <w:r>
        <w:rPr/>
        <w:t> </w:t>
      </w:r>
    </w:p>
    <w:p>
      <w:pPr>
        <w:pStyle w:val="TextBody"/>
        <w:bidi w:val="0"/>
        <w:spacing w:before="0" w:after="0"/>
        <w:jc w:val="left"/>
        <w:rPr/>
      </w:pPr>
      <w:r>
        <w:rPr/>
        <w:drawing>
          <wp:inline distT="0" distB="0" distL="0" distR="0">
            <wp:extent cx="1441450" cy="47053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441450" cy="47053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Ionis announces positive interim data from partner Roche’s Phase 3 IMAgINATION study in IgA nephropathy (IgAN)</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lineRule="auto" w:line="295" w:before="0" w:after="200"/>
        <w:jc w:val="center"/>
        <w:rPr/>
      </w:pPr>
      <w:r>
        <w:rPr/>
        <w:t xml:space="preserve">– </w:t>
      </w:r>
      <w:r>
        <w:rPr>
          <w:rFonts w:ascii="TimesNewRoman;Times New Roman;Times;Baskerville;Georgia;serif" w:hAnsi="TimesNewRoman;Times New Roman;Times;Baskerville;Georgia;serif"/>
          <w:i/>
          <w:sz w:val="20"/>
        </w:rPr>
        <w:t>Sefaxersen demonstrated statistically significant and clinically meaningful reductions in proteinuria versus placebo at 37 weeks, showing best-in-class potential –</w:t>
      </w:r>
      <w:r>
        <w:rPr>
          <w:rFonts w:ascii="TimesNewRoman;Times New Roman;Times;Baskerville;Georgia;serif" w:hAnsi="TimesNewRoman;Times New Roman;Times;Baskerville;Georgia;serif"/>
          <w:sz w:val="20"/>
        </w:rPr>
        <w:t xml:space="preserve"> </w:t>
      </w:r>
    </w:p>
    <w:p>
      <w:pPr>
        <w:pStyle w:val="TextBody"/>
        <w:bidi w:val="0"/>
        <w:spacing w:lineRule="auto" w:line="295" w:before="0" w:after="200"/>
        <w:jc w:val="center"/>
        <w:rPr/>
      </w:pPr>
      <w:r>
        <w:rPr/>
        <w:t>–  </w:t>
      </w:r>
      <w:r>
        <w:rPr>
          <w:rFonts w:ascii="TimesNewRoman;Times New Roman;Times;Baskerville;Georgia;serif" w:hAnsi="TimesNewRoman;Times New Roman;Times;Baskerville;Georgia;serif"/>
          <w:i/>
          <w:sz w:val="20"/>
        </w:rPr>
        <w:t>IgAN is a progressive kidney disease that is typically diagnosed in young adults and up to 50% of people progress to kidney failure within 20 years, requiring dialysis or transplantation –</w:t>
      </w:r>
      <w:r>
        <w:rPr>
          <w:rFonts w:ascii="TimesNewRoman;Times New Roman;Times;Baskerville;Georgia;serif" w:hAnsi="TimesNewRoman;Times New Roman;Times;Baskerville;Georgia;serif"/>
          <w:sz w:val="20"/>
        </w:rPr>
        <w:t xml:space="preserve"> </w:t>
      </w:r>
    </w:p>
    <w:p>
      <w:pPr>
        <w:pStyle w:val="TextBody"/>
        <w:bidi w:val="0"/>
        <w:spacing w:lineRule="auto" w:line="295" w:before="0" w:after="200"/>
        <w:jc w:val="center"/>
        <w:rPr/>
      </w:pPr>
      <w:r>
        <w:rPr/>
        <w:t>–  </w:t>
      </w:r>
      <w:r>
        <w:rPr>
          <w:rFonts w:ascii="TimesNewRoman;Times New Roman;Times;Baskerville;Georgia;serif" w:hAnsi="TimesNewRoman;Times New Roman;Times;Baskerville;Georgia;serif"/>
          <w:i/>
          <w:sz w:val="20"/>
        </w:rPr>
        <w:t>Interim data will be presented at an upcoming medical meeting and shared with health authorities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 xml:space="preserve">CARLSBAD, Calif., September 23, 2026 </w:t>
      </w:r>
      <w:r>
        <w:rPr>
          <w:rFonts w:ascii="TimesNewRoman;Times New Roman;Times;Baskerville;Georgia;serif" w:hAnsi="TimesNewRoman;Times New Roman;Times;Baskerville;Georgia;serif"/>
          <w:sz w:val="20"/>
        </w:rPr>
        <w:t xml:space="preserve">-- </w:t>
      </w:r>
      <w:r>
        <w:rPr>
          <w:rFonts w:ascii="TimesNewRoman;Times New Roman;Times;Baskerville;Georgia;serif" w:hAnsi="TimesNewRoman;Times New Roman;Times;Baskerville;Georgia;serif"/>
          <w:sz w:val="20"/>
          <w:u w:val="single"/>
        </w:rPr>
        <w:t>Ionis Pharmaceuticals, Inc.</w:t>
      </w:r>
      <w:r>
        <w:rPr>
          <w:rFonts w:ascii="TimesNewRoman;Times New Roman;Times;Baskerville;Georgia;serif" w:hAnsi="TimesNewRoman;Times New Roman;Times;Baskerville;Georgia;serif"/>
          <w:sz w:val="20"/>
        </w:rPr>
        <w:t xml:space="preserve"> (Nasdaq: IONS) and partner Roche today announced positive prespecified interim results from the ongoing Phase 3 IMAgINATION study evaluating investigational sefaxersen in adults with primary IgA nephropathy (IgAN). The study met its primary endpoint with sefaxersen achieving statistically significant and clinically meaningful improvements in proteinuria reduction, compared to placebo at 37 weeks, as measured by 24-hour urine protein-to-creatinine ratio (UPCR). Proteinuria is a key indicator of kidney damage, and a reduction in UPCR is strongly associated with the preservation of long-term kidney function</w:t>
      </w:r>
      <w:r>
        <w:rPr>
          <w:rFonts w:ascii="TimesNewRoman;Times New Roman;Times;Baskerville;Georgia;serif" w:hAnsi="TimesNewRoman;Times New Roman;Times;Baskerville;Georgia;serif"/>
          <w:i/>
          <w:sz w:val="20"/>
        </w:rPr>
        <w:t>.</w:t>
      </w:r>
      <w:r>
        <w:rPr>
          <w:rFonts w:ascii="TimesNewRoman;Times New Roman;Times;Baskerville;Georgia;serif" w:hAnsi="TimesNewRoman;Times New Roman;Times;Baskerville;Georgia;serif"/>
          <w:sz w:val="20"/>
        </w:rPr>
        <w:t xml:space="preserve"> Sefaxersen is a once-monthly subcutaneous injection designed to enable self-administration for people with IgAN. The safety and tolerability profile of sefaxersen was consistent with previously reported data, with no new safety signals identified. </w:t>
      </w:r>
    </w:p>
    <w:p>
      <w:pPr>
        <w:pStyle w:val="TextBody"/>
        <w:bidi w:val="0"/>
        <w:spacing w:before="0" w:after="0"/>
        <w:jc w:val="left"/>
        <w:rPr/>
      </w:pPr>
      <w:r>
        <w:rPr/>
        <w:t xml:space="preserve">  </w:t>
      </w:r>
    </w:p>
    <w:p>
      <w:pPr>
        <w:pStyle w:val="TextBody"/>
        <w:bidi w:val="0"/>
        <w:spacing w:before="0" w:after="0"/>
        <w:jc w:val="left"/>
        <w:rPr/>
      </w:pPr>
      <w:r>
        <w:rPr/>
        <w:t>“</w:t>
      </w:r>
      <w:r>
        <w:rPr>
          <w:rFonts w:ascii="TimesNewRoman;Times New Roman;Times;Baskerville;Georgia;serif" w:hAnsi="TimesNewRoman;Times New Roman;Times;Baskerville;Georgia;serif"/>
          <w:sz w:val="20"/>
        </w:rPr>
        <w:t xml:space="preserve">With these positive interim results, sefaxersen is positioned to directly address a primary driver of IgAN-related kidney damage, offering the potential to help slow disease progression and potentially reduce the long-term need for dialysis or kidney transplantation,” said Brett P. Monia, Ph.D., chief executive officer, Ionis. “These findings are an important advance for the field and further demonstrate the broad potential of our RNA-targeted technology to make a meaningful difference for people living with serious diseases.”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IMAgINATION study will continue as a blinded study to evaluate the change in kidney function over two years, as measured by estimated glomerular filtration rate (eGFR) at week 105. Interim analysis data will be presented at an upcoming medical congress and shared with health authorities, with the goal of bringing this treatment to patients as soon as possible.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IgAN, also known as Berger’s disease, is a chronic and progressive autoimmune disease that leads to end-stage kidney disease in up to 50% of patients within 20 years after diagnosis. Typically diagnosed before the age of 40 years, it affects at least 25 adults per million worldwide each year.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Roche licensed sefaxersen from Ionis for the treatment of complement-mediated diseases. Under the terms of the agreement, </w:t>
      </w:r>
      <w:r>
        <w:rPr>
          <w:rFonts w:ascii="TimesNewRoman;Times New Roman;Times;Baskerville;Georgia;serif" w:hAnsi="TimesNewRoman;Times New Roman;Times;Baskerville;Georgia;serif"/>
          <w:color w:val="000000"/>
          <w:sz w:val="20"/>
        </w:rPr>
        <w:t>Ionis received an upfront payment, license fee and development milestone payments and is eligible to receive regulatory and sales milestone payments as well as tiered royalties on net sales of sefaxersen.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About sefaxersen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color w:val="000000"/>
          <w:sz w:val="20"/>
        </w:rPr>
      </w:pPr>
      <w:r>
        <w:rPr>
          <w:rFonts w:ascii="TimesNewRoman;Times New Roman;Times;Baskerville;Georgia;serif" w:hAnsi="TimesNewRoman;Times New Roman;Times;Baskerville;Georgia;serif"/>
          <w:color w:val="000000"/>
          <w:sz w:val="20"/>
        </w:rPr>
        <w:t xml:space="preserve">Sefaxersen, an investigational, highly specific liver-directed antisense oligonucleotide that inhibits factor B production, is the first RNA-targeted therapy for IgA nephropathy (IgAN). Serum complement factor B levels are elevated in people with IgAN. Sefaxersen is designed to provide sustained control of the alternative complement pathway, an important pathway in IgAN, enabling once-monthly subcutaneous dosing and is intended for self-administration in people with IgAN.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drawing>
          <wp:inline distT="0" distB="0" distL="0" distR="0">
            <wp:extent cx="1441450" cy="47053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441450" cy="470535"/>
                    </a:xfrm>
                    <a:prstGeom prst="rect">
                      <a:avLst/>
                    </a:prstGeom>
                  </pic:spPr>
                </pic:pic>
              </a:graphicData>
            </a:graphic>
          </wp:inline>
        </w:drawing>
      </w:r>
      <w:r>
        <w:rPr>
          <w:caps w:val="false"/>
          <w:smallCaps w:val="false"/>
          <w:strike w:val="false"/>
          <w:dstrike w:val="false"/>
          <w:u w:val="none"/>
          <w:effect w:val="none"/>
        </w:rPr>
        <w:t xml:space="preserve"> </w:t>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About the IMAgINATION Study</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IMAgINATION (</w:t>
      </w:r>
      <w:r>
        <w:rPr>
          <w:rFonts w:ascii="TimesNewRoman;Times New Roman;Times;Baskerville;Georgia;serif" w:hAnsi="TimesNewRoman;Times New Roman;Times;Baskerville;Georgia;serif"/>
          <w:sz w:val="20"/>
          <w:u w:val="single"/>
        </w:rPr>
        <w:t>NCT05797610</w:t>
      </w:r>
      <w:r>
        <w:rPr>
          <w:rFonts w:ascii="TimesNewRoman;Times New Roman;Times;Baskerville;Georgia;serif" w:hAnsi="TimesNewRoman;Times New Roman;Times;Baskerville;Georgia;serif"/>
          <w:color w:val="000000"/>
          <w:sz w:val="20"/>
        </w:rPr>
        <w:t xml:space="preserve">) is a Phase 3, multicenter, randomized, double-blind, placebo-controlled study to evaluate the efficacy and safety of subcutaneous sefaxersen, an investigational antisense inhibitor of complement factor B, in patients with primary IgA nephropathy at high risk of progression. The study enrolled 459 people, who are randomized 1:1 to receive sefaxersen or placebo for 105 weeks. Participants may switch to open-label treatment after week 105 at the investigator's discretion or after the common-close timepoint, whichever occurs first. The primary endpoint of the study is the change from baseline in the urine protein-to-creatinine ratio at 37 weeks.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About IgA Nephropathy (IgAN)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IgAN, also known as Berger’s disease, is a serious, chronic and progressive autoimmune kidney disease affecting at least 25 adults per million worldwide each year and is typically diagnosed before the age of 40 years. In IgAN, immune complexes deposit in the kidneys, which activates the complement system’s alternative pathway, leading to inflammation and subsequent kidney damage. It is the most common form of primary glomerulonephritis (inflammation of kidney glomeruli) and remains a leading cause of kidney failure, with up to 50% of patients experiencing end-stage kidney disease within 20 years of diagnosis. Many current therapies aim to reduce protein levels in the urine and control blood pressure to slow progression of the disease.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Updated KDIGO 2025 guidelines* highlight the need to address both the underlying immune-mediated causes of IgAN and the downstream consequences of kidney damage. While new therapies have expanded treatment options, important unmet needs remain, including improved long-term preservation of kidney function and more targeted approaches that address key drivers of disease progression.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About Ionis Pharmaceuticals, Inc.</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more than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NewRoman;Times New Roman;Times;Baskerville;Georgia;serif" w:hAnsi="TimesNewRoman;Times New Roman;Times;Baskerville;Georgia;serif"/>
          <w:sz w:val="20"/>
          <w:u w:val="single"/>
        </w:rPr>
        <w:t>Ionis.com</w:t>
      </w:r>
      <w:r>
        <w:rPr>
          <w:rFonts w:ascii="TimesNewRoman;Times New Roman;Times;Baskerville;Georgia;serif" w:hAnsi="TimesNewRoman;Times New Roman;Times;Baskerville;Georgia;serif"/>
          <w:sz w:val="20"/>
        </w:rPr>
        <w:t xml:space="preserve"> and follow us on </w:t>
      </w:r>
      <w:r>
        <w:rPr>
          <w:rFonts w:ascii="TimesNewRoman;Times New Roman;Times;Baskerville;Georgia;serif" w:hAnsi="TimesNewRoman;Times New Roman;Times;Baskerville;Georgia;serif"/>
          <w:sz w:val="20"/>
          <w:u w:val="single"/>
        </w:rPr>
        <w:t>X (Twitter), LinkedIn</w:t>
      </w:r>
      <w:r>
        <w:rPr>
          <w:rFonts w:ascii="TimesNewRoman;Times New Roman;Times;Baskerville;Georgia;serif" w:hAnsi="TimesNewRoman;Times New Roman;Times;Baskerville;Georgia;serif"/>
          <w:sz w:val="20"/>
        </w:rPr>
        <w:t xml:space="preserve"> and </w:t>
      </w:r>
      <w:r>
        <w:rPr>
          <w:rFonts w:ascii="TimesNewRoman;Times New Roman;Times;Baskerville;Georgia;serif" w:hAnsi="TimesNewRoman;Times New Roman;Times;Baskerville;Georgia;serif"/>
          <w:sz w:val="20"/>
          <w:u w:val="single"/>
        </w:rPr>
        <w:t>Instagram</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Ionis Forward-looking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press release includes forward-looking statements regarding Ionis' business and the therapeutic and commercial potential of sefaxersen,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drawing>
          <wp:inline distT="0" distB="0" distL="0" distR="0">
            <wp:extent cx="1441450" cy="47053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441450" cy="470535"/>
                    </a:xfrm>
                    <a:prstGeom prst="rect">
                      <a:avLst/>
                    </a:prstGeom>
                  </pic:spPr>
                </pic:pic>
              </a:graphicData>
            </a:graphic>
          </wp:inline>
        </w:drawing>
      </w:r>
      <w:r>
        <w:rPr>
          <w:caps w:val="false"/>
          <w:smallCaps w:val="false"/>
          <w:strike w:val="false"/>
          <w:dstrike w:val="false"/>
          <w:u w:val="none"/>
          <w:effect w:val="none"/>
        </w:rPr>
        <w:t xml:space="preserve"> </w:t>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this press release, unless the context requires otherwise, "Ionis," "Company," "we," "our" and "us" all refer to Ionis Pharmaceuticals and its subsidiaries.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Ionis Pharmaceuticals</w:t>
      </w:r>
      <w:r>
        <w:rPr>
          <w:rFonts w:ascii="TimesNewRoman;Times New Roman;Times;Baskerville;Georgia;serif" w:hAnsi="TimesNewRoman;Times New Roman;Times;Baskerville;Georgia;serif"/>
          <w:position w:val="7"/>
          <w:sz w:val="16"/>
          <w:sz w:val="20"/>
        </w:rPr>
        <w:t>®</w:t>
      </w:r>
      <w:r>
        <w:rPr>
          <w:rFonts w:ascii="TimesNewRoman;Times New Roman;Times;Baskerville;Georgia;serif" w:hAnsi="TimesNewRoman;Times New Roman;Times;Baskerville;Georgia;serif"/>
          <w:sz w:val="20"/>
        </w:rPr>
        <w:t xml:space="preserve"> is a trademark of Ionis Pharmaceuticals, Inc.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*KDIGO guidelines serve as the foundational framework for healthcare organizations, policymakers and clinicians worldwide to standardize kidney disease diagnosis, staging and treatment.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Ionis Investor Contact: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D. Wade Walke, Ph.D.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w:t>
      </w:r>
      <w:r>
        <w:rPr>
          <w:rFonts w:ascii="TimesNewRoman;Times New Roman;Times;Baskerville;Georgia;serif" w:hAnsi="TimesNewRoman;Times New Roman;Times;Baskerville;Georgia;serif"/>
          <w:sz w:val="20"/>
          <w:u w:val="single"/>
        </w:rPr>
        <w:t xml:space="preserve">R@ionis.com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760-603-2331</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Ionis Media Contact: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Hayley Soffer</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media@ionis.com</w:t>
      </w:r>
      <w:r>
        <w:rPr>
          <w:rFonts w:ascii="TimesNewRoman;Times New Roman;Times;Baskerville;Georgia;serif" w:hAnsi="TimesNewRoman;Times New Roman;Times;Baskerville;Georgia;serif"/>
          <w:color w:val="000000"/>
          <w:sz w:val="20"/>
          <w:u w:val="single"/>
        </w:rPr>
        <w:t>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color w:val="000000"/>
          <w:sz w:val="20"/>
        </w:rPr>
      </w:pPr>
      <w:r>
        <w:rPr>
          <w:rFonts w:ascii="TimesNewRoman;Times New Roman;Times;Baskerville;Georgia;serif" w:hAnsi="TimesNewRoman;Times New Roman;Times;Baskerville;Georgia;serif"/>
          <w:color w:val="000000"/>
          <w:sz w:val="20"/>
        </w:rPr>
        <w:t>760-603-4679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2248</Words>
  <Characters>13191</Characters>
  <CharactersWithSpaces>15546</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