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June 12, 2026</w:t>
      </w:r>
    </w:p>
    <w:p>
      <w:pPr>
        <w:spacing w:after="0" w:line="1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IONIS PHARMACEUTICALS,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ectPr>
          <w:pgSz w:w="11900" w:h="16838" w:orient="portrait"/>
          <w:cols w:equalWidth="0" w:num="1">
            <w:col w:w="11240"/>
          </w:cols>
          <w:pgMar w:left="320" w:top="516" w:right="339" w:bottom="1440" w:gutter="0" w:footer="0" w:header="0"/>
        </w:sectPr>
      </w:pPr>
    </w:p>
    <w:p>
      <w:pPr>
        <w:spacing w:after="0" w:line="20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000-19125</w:t>
      </w:r>
    </w:p>
    <w:p>
      <w:pPr>
        <w:spacing w:after="0" w:line="31"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(Commission File No.)</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b w:val="1"/>
          <w:bCs w:val="1"/>
          <w:color w:val="auto"/>
        </w:rPr>
        <w:t>33-0336973</w:t>
      </w:r>
    </w:p>
    <w:p>
      <w:pPr>
        <w:spacing w:after="0" w:line="31"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1" w:lineRule="exact"/>
        <w:rPr>
          <w:sz w:val="24"/>
          <w:szCs w:val="24"/>
          <w:color w:val="auto"/>
        </w:rPr>
      </w:pPr>
    </w:p>
    <w:p>
      <w:pPr>
        <w:sectPr>
          <w:pgSz w:w="11900" w:h="16838" w:orient="portrait"/>
          <w:cols w:equalWidth="0" w:num="2">
            <w:col w:w="6540" w:space="720"/>
            <w:col w:w="3980"/>
          </w:cols>
          <w:pgMar w:left="320" w:top="516"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2855 Gazelle Court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Carlsbad, CA 92010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and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(760) 931-9200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Trading symbol</w:t>
            </w: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4"/>
        </w:trPr>
        <w:tc>
          <w:tcPr>
            <w:tcW w:w="3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340" w:type="dxa"/>
            <w:vAlign w:val="bottom"/>
          </w:tcPr>
          <w:p>
            <w:pPr>
              <w:spacing w:after="0"/>
              <w:rPr>
                <w:sz w:val="20"/>
                <w:szCs w:val="20"/>
                <w:color w:val="auto"/>
              </w:rPr>
            </w:pPr>
          </w:p>
        </w:tc>
        <w:tc>
          <w:tcPr>
            <w:tcW w:w="1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“IONS”</w:t>
            </w:r>
          </w:p>
        </w:tc>
        <w:tc>
          <w:tcPr>
            <w:tcW w:w="320" w:type="dxa"/>
            <w:vAlign w:val="bottom"/>
          </w:tcPr>
          <w:p>
            <w:pPr>
              <w:spacing w:after="0"/>
              <w:rPr>
                <w:sz w:val="20"/>
                <w:szCs w:val="20"/>
                <w:color w:val="auto"/>
              </w:rPr>
            </w:pPr>
          </w:p>
        </w:tc>
        <w:tc>
          <w:tcPr>
            <w:tcW w:w="5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79"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(Section 230.405 of this chapter) or Rule 12b-2 of the Securities Exchange Act of 1934 (Section 240.12b-2 of this chapter).</w:t>
      </w:r>
    </w:p>
    <w:p>
      <w:pPr>
        <w:jc w:val="right"/>
        <w:spacing w:after="0" w:line="207" w:lineRule="exact"/>
        <w:tabs>
          <w:tab w:leader="none" w:pos="1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12"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12, 2026, Ionis Pharmaceuticals, Inc. (“</w:t>
      </w:r>
      <w:r>
        <w:rPr>
          <w:rFonts w:ascii="Times New Roman" w:cs="Times New Roman" w:eastAsia="Times New Roman" w:hAnsi="Times New Roman"/>
          <w:sz w:val="18"/>
          <w:szCs w:val="18"/>
          <w:b w:val="1"/>
          <w:bCs w:val="1"/>
          <w:i w:val="1"/>
          <w:iCs w:val="1"/>
          <w:color w:val="auto"/>
        </w:rPr>
        <w:t>Ionis</w:t>
      </w:r>
      <w:r>
        <w:rPr>
          <w:rFonts w:ascii="Times New Roman" w:cs="Times New Roman" w:eastAsia="Times New Roman" w:hAnsi="Times New Roman"/>
          <w:sz w:val="18"/>
          <w:szCs w:val="18"/>
          <w:color w:val="auto"/>
        </w:rPr>
        <w:t>”) shared positive new data from the open-label extension study of CORE and CORE2 (“</w:t>
      </w:r>
      <w:r>
        <w:rPr>
          <w:rFonts w:ascii="Times New Roman" w:cs="Times New Roman" w:eastAsia="Times New Roman" w:hAnsi="Times New Roman"/>
          <w:sz w:val="18"/>
          <w:szCs w:val="18"/>
          <w:b w:val="1"/>
          <w:bCs w:val="1"/>
          <w:i w:val="1"/>
          <w:iCs w:val="1"/>
          <w:color w:val="auto"/>
        </w:rPr>
        <w:t>CORE-OLE</w:t>
      </w:r>
      <w:r>
        <w:rPr>
          <w:rFonts w:ascii="Times New Roman" w:cs="Times New Roman" w:eastAsia="Times New Roman" w:hAnsi="Times New Roman"/>
          <w:sz w:val="18"/>
          <w:szCs w:val="18"/>
          <w:color w:val="auto"/>
        </w:rPr>
        <w:t>”) evaluating olezarsen in people with severe hypertriglyceridemia (“</w:t>
      </w:r>
      <w:r>
        <w:rPr>
          <w:rFonts w:ascii="Times New Roman" w:cs="Times New Roman" w:eastAsia="Times New Roman" w:hAnsi="Times New Roman"/>
          <w:sz w:val="18"/>
          <w:szCs w:val="18"/>
          <w:b w:val="1"/>
          <w:bCs w:val="1"/>
          <w:i w:val="1"/>
          <w:iCs w:val="1"/>
          <w:color w:val="auto"/>
        </w:rPr>
        <w:t>sHTG</w:t>
      </w:r>
      <w:r>
        <w:rPr>
          <w:rFonts w:ascii="Times New Roman" w:cs="Times New Roman" w:eastAsia="Times New Roman" w:hAnsi="Times New Roman"/>
          <w:sz w:val="18"/>
          <w:szCs w:val="18"/>
          <w:color w:val="auto"/>
        </w:rPr>
        <w:t>”) during an oral presentation at the National Lipid Association Scientific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Sessions in Chicago. The presentation included new, longer-term hepatic magnetic resonance imaging-proton density fat fraction (“</w:t>
      </w:r>
      <w:r>
        <w:rPr>
          <w:rFonts w:ascii="Times New Roman" w:cs="Times New Roman" w:eastAsia="Times New Roman" w:hAnsi="Times New Roman"/>
          <w:sz w:val="18"/>
          <w:szCs w:val="18"/>
          <w:b w:val="1"/>
          <w:bCs w:val="1"/>
          <w:i w:val="1"/>
          <w:iCs w:val="1"/>
          <w:color w:val="auto"/>
        </w:rPr>
        <w:t>MRI-PDFF</w:t>
      </w:r>
      <w:r>
        <w:rPr>
          <w:rFonts w:ascii="Times New Roman" w:cs="Times New Roman" w:eastAsia="Times New Roman" w:hAnsi="Times New Roman"/>
          <w:sz w:val="18"/>
          <w:szCs w:val="18"/>
          <w:color w:val="auto"/>
        </w:rPr>
        <w:t>”) results from 53 patients who completed 12 months of treatment in the CORE-OLE, representing approximately 25% of patients enrolled in the MRI-PDFF substudy. The substudy enrolled a subset of patients from CORE and CORE2 with elevated liver fat at baseline to evaluate hepatic fat fraction (“</w:t>
      </w:r>
      <w:r>
        <w:rPr>
          <w:rFonts w:ascii="Times New Roman" w:cs="Times New Roman" w:eastAsia="Times New Roman" w:hAnsi="Times New Roman"/>
          <w:sz w:val="18"/>
          <w:szCs w:val="18"/>
          <w:b w:val="1"/>
          <w:bCs w:val="1"/>
          <w:i w:val="1"/>
          <w:iCs w:val="1"/>
          <w:color w:val="auto"/>
        </w:rPr>
        <w:t>HFF</w:t>
      </w:r>
      <w:r>
        <w:rPr>
          <w:rFonts w:ascii="Times New Roman" w:cs="Times New Roman" w:eastAsia="Times New Roman" w:hAnsi="Times New Roman"/>
          <w:sz w:val="18"/>
          <w:szCs w:val="18"/>
          <w:color w:val="auto"/>
        </w:rPr>
        <w:t>”) over time by serial MRI assessments. During the CORE-OLE, all patients received the 80 mg dose of olezarsen. Key findings from the presentation include:</w:t>
      </w:r>
    </w:p>
    <w:p>
      <w:pPr>
        <w:spacing w:after="0" w:line="187"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Mean HFF levels returning toward baseline, after 24 months of treatment with the 80 mg dose of olezarsen.</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Mean changes in HFF levels were less pronounced in patients who transitioned from the 50 mg dose in the randomized, double-blind, placebo-controlled portion of the studies to the 80 mg dose in the CORE-OLE.</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Olezarsen continued to demonstrate a favorable safety profile with longer-term treatment.</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retention in the CORE-OLE has been very high, with more than 90% of eligible patients who completed the CORE and CORE2 studies transitioning into and remaining in the CORE-OLE.</w:t>
      </w:r>
    </w:p>
    <w:p>
      <w:pPr>
        <w:spacing w:after="0" w:line="17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60" w:type="dxa"/>
            <w:vAlign w:val="bottom"/>
          </w:tcPr>
          <w:p>
            <w:pPr>
              <w:spacing w:after="0"/>
              <w:rPr>
                <w:sz w:val="18"/>
                <w:szCs w:val="18"/>
                <w:color w:val="auto"/>
              </w:rPr>
            </w:pPr>
          </w:p>
        </w:tc>
      </w:tr>
      <w:tr>
        <w:trPr>
          <w:trHeight w:val="198"/>
        </w:trPr>
        <w:tc>
          <w:tcPr>
            <w:tcW w:w="420" w:type="dxa"/>
            <w:vAlign w:val="bottom"/>
          </w:tcPr>
          <w:p>
            <w:pPr>
              <w:spacing w:after="0"/>
              <w:rPr>
                <w:sz w:val="17"/>
                <w:szCs w:val="17"/>
                <w:color w:val="auto"/>
              </w:rPr>
            </w:pPr>
          </w:p>
        </w:tc>
        <w:tc>
          <w:tcPr>
            <w:tcW w:w="8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9"/>
              </w:rPr>
              <w:t>Exhibit No.</w:t>
            </w:r>
          </w:p>
        </w:tc>
        <w:tc>
          <w:tcPr>
            <w:tcW w:w="200" w:type="dxa"/>
            <w:vAlign w:val="bottom"/>
          </w:tcPr>
          <w:p>
            <w:pPr>
              <w:spacing w:after="0"/>
              <w:rPr>
                <w:sz w:val="17"/>
                <w:szCs w:val="17"/>
                <w:color w:val="auto"/>
              </w:rPr>
            </w:pPr>
          </w:p>
        </w:tc>
        <w:tc>
          <w:tcPr>
            <w:tcW w:w="9740" w:type="dxa"/>
            <w:vAlign w:val="bottom"/>
            <w:gridSpan w:val="3"/>
          </w:tcPr>
          <w:p>
            <w:pPr>
              <w:ind w:left="200"/>
              <w:spacing w:after="0" w:line="198" w:lineRule="exact"/>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4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p>
        </w:tc>
        <w:tc>
          <w:tcPr>
            <w:tcW w:w="8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spacing w:after="0"/>
              <w:rPr>
                <w:sz w:val="20"/>
                <w:szCs w:val="20"/>
                <w:color w:val="auto"/>
              </w:rPr>
            </w:pPr>
          </w:p>
        </w:tc>
        <w:tc>
          <w:tcPr>
            <w:tcW w:w="97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398"/>
        </w:trPr>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onis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harmaceuticals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Dated: June 12, 2026</w:t>
      </w:r>
      <w:r>
        <w:rPr>
          <w:sz w:val="20"/>
          <w:szCs w:val="20"/>
          <w:color w:val="auto"/>
        </w:rPr>
        <w:tab/>
      </w:r>
      <w:r>
        <w:rPr>
          <w:rFonts w:ascii="Times New Roman" w:cs="Times New Roman" w:eastAsia="Times New Roman" w:hAnsi="Times New Roman"/>
          <w:sz w:val="18"/>
          <w:szCs w:val="18"/>
          <w:color w:val="auto"/>
        </w:rPr>
        <w:t>By: /s/ Patrick R. O’Neil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atrick</w:t>
      </w:r>
      <w:r>
        <w:rPr>
          <w:rFonts w:ascii="Times New Roman" w:cs="Times New Roman" w:eastAsia="Times New Roman" w:hAnsi="Times New Roman"/>
          <w:sz w:val="18"/>
          <w:szCs w:val="18"/>
          <w:b w:val="1"/>
          <w:bCs w:val="1"/>
          <w:color w:val="auto"/>
        </w:rPr>
        <w:t xml:space="preserve"> R. O’N</w:t>
      </w:r>
      <w:r>
        <w:rPr>
          <w:rFonts w:ascii="Times New Roman" w:cs="Times New Roman" w:eastAsia="Times New Roman" w:hAnsi="Times New Roman"/>
          <w:sz w:val="12"/>
          <w:szCs w:val="12"/>
          <w:b w:val="1"/>
          <w:bCs w:val="1"/>
          <w:color w:val="auto"/>
        </w:rPr>
        <w:t>eil</w:t>
      </w:r>
    </w:p>
    <w:p>
      <w:pPr>
        <w:spacing w:after="0" w:line="3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Executive Vice President, Chief Legal Officer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2026-06-12T13:22:02Z</dcterms:created>
  <dcterms:modified xsi:type="dcterms:W3CDTF">2026-06-12T13:22:02Z</dcterms:modified>
</cp:coreProperties>
</file>