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HERMAN JOAN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2855 GAZELLE COURT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IONIS PHARMACEUTICALS INC</w:t>
              </w:r>
            </w:hyperlink>
            <w:r>
              <w:rPr/>
              <w:t xml:space="preserve"> [ </w:t>
            </w:r>
            <w:r>
              <w:rPr>
                <w:rFonts w:ascii="Times;serif" w:hAnsi="Times;serif"/>
                <w:color w:val="0000FF"/>
                <w:sz w:val="24"/>
                <w:shd w:fill="FFFFFF" w:val="clear"/>
              </w:rPr>
              <w:t>IONS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5,220</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51,306</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5,220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5,220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2,301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Acquired pursuant to vesting and release of shares in accordance with a Restricted Stock Unit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a contingent right to receive one share of Ionis common stock, or its equivalent cash value.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Restricted Stock Units vest 100% on either the first anniversary of the date of grant or the next regularly scheduled annual meeting of stockholders of the Company, whichever occurs earlier, and are delivered to the reporting person on the July 15th following the vesting date. Upon vesting, the Restricted Stock Units will be paid in whole shares of Ionis common stock or cash as may be determined by the Company.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Patrick R. O'Neil, attorney-in-fact For: Joan E. Herman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8398" TargetMode="External"/><Relationship Id="rId5" Type="http://schemas.openxmlformats.org/officeDocument/2006/relationships/hyperlink" Target="http://www.sec.gov/cgi-bin/browse-edgar?action=getcompany&amp;CIK=00008740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686</Words>
  <Characters>3672</Characters>
  <CharactersWithSpaces>4291</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