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ef20079139_s8.htm"/>
      <w:bookmarkStart w:id="1" w:name="ksef20079139_s8"/>
      <w:bookmarkEnd w:id="0"/>
      <w:bookmarkEnd w:id="1"/>
      <w:r>
        <w:rPr>
          <w:b/>
          <w:color w:val="000000"/>
          <w:sz w:val="20"/>
        </w:rPr>
        <w:t>As filed with the Securities and Exchange Commission on July 31, 2026</w:t>
      </w:r>
      <w:r>
        <w:rPr/>
        <w:t xml:space="preserve"> </w:t>
      </w:r>
    </w:p>
    <w:p>
      <w:pPr>
        <w:pStyle w:val="TextBody"/>
        <w:bidi w:val="0"/>
        <w:spacing w:before="0" w:after="0"/>
        <w:jc w:val="right"/>
        <w:rPr/>
      </w:pPr>
      <w:r>
        <w:rPr>
          <w:b/>
          <w:color w:val="000000"/>
          <w:sz w:val="20"/>
        </w:rPr>
        <w:t>Registration No. 333-</w:t>
      </w:r>
      <w:r>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sz w:val="28"/>
        </w:rPr>
      </w:pPr>
      <w:r>
        <w:rPr>
          <w:b/>
          <w:color w:val="000000"/>
          <w:sz w:val="28"/>
        </w:rPr>
        <w:t>UNITED STATES</w:t>
      </w:r>
      <w:r>
        <w:rPr>
          <w:sz w:val="28"/>
        </w:rPr>
        <w:t xml:space="preserve"> </w:t>
      </w:r>
    </w:p>
    <w:p>
      <w:pPr>
        <w:pStyle w:val="TextBody"/>
        <w:bidi w:val="0"/>
        <w:spacing w:before="0" w:after="0"/>
        <w:jc w:val="center"/>
        <w:rPr>
          <w:sz w:val="28"/>
        </w:rPr>
      </w:pPr>
      <w:r>
        <w:rPr>
          <w:b/>
          <w:color w:val="000000"/>
          <w:sz w:val="28"/>
        </w:rPr>
        <w:t>SECURITIES AND EXCHANGE COMMISSION</w:t>
      </w:r>
      <w:r>
        <w:rPr>
          <w:sz w:val="28"/>
        </w:rPr>
        <w:t xml:space="preserve"> </w:t>
      </w:r>
    </w:p>
    <w:p>
      <w:pPr>
        <w:pStyle w:val="TextBody"/>
        <w:bidi w:val="0"/>
        <w:spacing w:before="0" w:after="0"/>
        <w:jc w:val="center"/>
        <w:rPr>
          <w:sz w:val="24"/>
        </w:rPr>
      </w:pPr>
      <w:r>
        <w:rPr>
          <w:color w:val="000000"/>
          <w:sz w:val="24"/>
        </w:rPr>
        <w:t>Washington, D.C. 20549</w:t>
      </w:r>
      <w:r>
        <w:rPr>
          <w:sz w:val="24"/>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sz w:val="36"/>
        </w:rPr>
      </w:pPr>
      <w:r>
        <w:rPr>
          <w:b/>
          <w:color w:val="000000"/>
          <w:sz w:val="36"/>
        </w:rPr>
        <w:t>FORM S-8</w:t>
      </w:r>
      <w:r>
        <w:rPr>
          <w:sz w:val="36"/>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color w:val="000000"/>
          <w:sz w:val="20"/>
        </w:rPr>
        <w:t>REGISTRATION STATEMENT UNDER THE SECURITIES ACT OF 1933</w:t>
      </w:r>
      <w:r>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sz w:val="48"/>
        </w:rPr>
      </w:pPr>
      <w:r>
        <w:rPr>
          <w:b/>
          <w:color w:val="000000"/>
          <w:sz w:val="48"/>
        </w:rPr>
        <w:t>IONIS PHARMACEUTICALS, INC.</w:t>
      </w:r>
      <w:r>
        <w:rPr>
          <w:sz w:val="48"/>
        </w:rPr>
        <w:t xml:space="preserve"> </w:t>
      </w:r>
    </w:p>
    <w:p>
      <w:pPr>
        <w:pStyle w:val="TextBody"/>
        <w:bidi w:val="0"/>
        <w:spacing w:before="0" w:after="0"/>
        <w:jc w:val="center"/>
        <w:rPr/>
      </w:pPr>
      <w:r>
        <w:rPr>
          <w:color w:val="000000"/>
          <w:sz w:val="20"/>
        </w:rPr>
        <w:t>(Exact name of registrant as specified in its charter)</w:t>
      </w:r>
      <w:r>
        <w:rPr/>
        <w:t xml:space="preserve"> </w:t>
      </w:r>
    </w:p>
    <w:tbl>
      <w:tblPr>
        <w:tblW w:w="5368" w:type="dxa"/>
        <w:jc w:val="left"/>
        <w:tblInd w:w="0" w:type="dxa"/>
        <w:tblLayout w:type="fixed"/>
        <w:tblCellMar>
          <w:top w:w="28" w:type="dxa"/>
          <w:left w:w="28" w:type="dxa"/>
          <w:bottom w:w="28" w:type="dxa"/>
          <w:right w:w="28" w:type="dxa"/>
        </w:tblCellMar>
      </w:tblPr>
      <w:tblGrid>
        <w:gridCol w:w="2071"/>
        <w:gridCol w:w="206"/>
        <w:gridCol w:w="3091"/>
      </w:tblGrid>
      <w:tr>
        <w:trPr/>
        <w:tc>
          <w:tcPr>
            <w:tcW w:w="207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Delaware</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b/>
                <w:color w:val="000000"/>
                <w:sz w:val="20"/>
              </w:rPr>
              <w:t>33-0336973</w:t>
            </w:r>
            <w:r>
              <w:rPr/>
              <w:t xml:space="preserve"> </w:t>
            </w:r>
          </w:p>
        </w:tc>
      </w:tr>
      <w:tr>
        <w:trPr/>
        <w:tc>
          <w:tcPr>
            <w:tcW w:w="207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(State of Incorporation)</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09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(I.R.S. Employer Identification No.)</w:t>
            </w:r>
            <w:r>
              <w:rPr/>
              <w:t xml:space="preserve"> </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color w:val="000000"/>
          <w:sz w:val="20"/>
        </w:rPr>
        <w:t>2855 Gazelle Court</w:t>
      </w:r>
      <w:r>
        <w:rPr/>
        <w:t xml:space="preserve"> </w:t>
      </w:r>
    </w:p>
    <w:p>
      <w:pPr>
        <w:pStyle w:val="TextBody"/>
        <w:bidi w:val="0"/>
        <w:spacing w:before="0" w:after="0"/>
        <w:jc w:val="center"/>
        <w:rPr/>
      </w:pPr>
      <w:r>
        <w:rPr>
          <w:b/>
          <w:color w:val="000000"/>
          <w:sz w:val="20"/>
        </w:rPr>
        <w:t>Carlsbad, CA 92010</w:t>
      </w:r>
      <w:r>
        <w:rPr/>
        <w:t xml:space="preserve"> </w:t>
      </w:r>
    </w:p>
    <w:p>
      <w:pPr>
        <w:pStyle w:val="TextBody"/>
        <w:bidi w:val="0"/>
        <w:spacing w:before="0" w:after="0"/>
        <w:jc w:val="center"/>
        <w:rPr/>
      </w:pPr>
      <w:r>
        <w:rPr>
          <w:color w:val="000000"/>
          <w:sz w:val="20"/>
        </w:rPr>
        <w:t>(Address of principal executive offices, including zip code)</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b/>
          <w:color w:val="000000"/>
          <w:sz w:val="20"/>
        </w:rPr>
        <w:t>Amended and Restated Ionis Pharmaceuticals, Inc. 2011 Equity Incentive Plan</w:t>
      </w:r>
      <w:r>
        <w:rPr/>
        <w:t xml:space="preserve"> </w:t>
      </w:r>
    </w:p>
    <w:p>
      <w:pPr>
        <w:pStyle w:val="TextBody"/>
        <w:bidi w:val="0"/>
        <w:spacing w:before="0" w:after="0"/>
        <w:jc w:val="center"/>
        <w:rPr/>
      </w:pPr>
      <w:r>
        <w:rPr>
          <w:b/>
          <w:color w:val="000000"/>
          <w:sz w:val="20"/>
        </w:rPr>
        <w:t>Amended and Restated Ionis Pharmaceuticals, Inc. 2000 Employee Stock Purchase Plan</w:t>
      </w:r>
      <w:r>
        <w:rPr/>
        <w:t xml:space="preserve"> </w:t>
      </w:r>
    </w:p>
    <w:p>
      <w:pPr>
        <w:pStyle w:val="TextBody"/>
        <w:bidi w:val="0"/>
        <w:spacing w:before="0" w:after="0"/>
        <w:jc w:val="center"/>
        <w:rPr/>
      </w:pPr>
      <w:r>
        <w:rPr>
          <w:color w:val="000000"/>
          <w:sz w:val="20"/>
        </w:rPr>
        <w:t>(Full title of the plan)</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sz w:val="20"/>
        </w:rPr>
        <w:t>Brett Monia</w:t>
      </w:r>
      <w:r>
        <w:rPr/>
        <w:t xml:space="preserve"> </w:t>
      </w:r>
    </w:p>
    <w:p>
      <w:pPr>
        <w:pStyle w:val="TextBody"/>
        <w:bidi w:val="0"/>
        <w:spacing w:before="0" w:after="0"/>
        <w:jc w:val="center"/>
        <w:rPr/>
      </w:pPr>
      <w:r>
        <w:rPr>
          <w:b/>
          <w:color w:val="000000"/>
          <w:sz w:val="20"/>
        </w:rPr>
        <w:t>Chief Executive Officer</w:t>
      </w:r>
      <w:r>
        <w:rPr/>
        <w:t xml:space="preserve"> </w:t>
      </w:r>
    </w:p>
    <w:p>
      <w:pPr>
        <w:pStyle w:val="TextBody"/>
        <w:bidi w:val="0"/>
        <w:spacing w:before="0" w:after="0"/>
        <w:jc w:val="center"/>
        <w:rPr/>
      </w:pPr>
      <w:r>
        <w:rPr>
          <w:b/>
          <w:color w:val="000000"/>
          <w:sz w:val="20"/>
        </w:rPr>
        <w:t>IONIS PHARMACEUTICALS, INC.</w:t>
      </w:r>
      <w:r>
        <w:rPr/>
        <w:t xml:space="preserve"> </w:t>
      </w:r>
    </w:p>
    <w:p>
      <w:pPr>
        <w:pStyle w:val="TextBody"/>
        <w:bidi w:val="0"/>
        <w:spacing w:before="0" w:after="0"/>
        <w:jc w:val="center"/>
        <w:rPr/>
      </w:pPr>
      <w:r>
        <w:rPr>
          <w:b/>
          <w:color w:val="000000"/>
          <w:sz w:val="20"/>
        </w:rPr>
        <w:t>2855 Gazelle Court</w:t>
      </w:r>
      <w:r>
        <w:rPr/>
        <w:t xml:space="preserve"> </w:t>
      </w:r>
    </w:p>
    <w:p>
      <w:pPr>
        <w:pStyle w:val="TextBody"/>
        <w:bidi w:val="0"/>
        <w:spacing w:before="0" w:after="0"/>
        <w:jc w:val="center"/>
        <w:rPr/>
      </w:pPr>
      <w:r>
        <w:rPr>
          <w:b/>
          <w:color w:val="000000"/>
          <w:sz w:val="20"/>
        </w:rPr>
        <w:t>Carlsbad, California 92010</w:t>
      </w:r>
      <w:r>
        <w:rPr/>
        <w:t xml:space="preserve"> </w:t>
      </w:r>
    </w:p>
    <w:p>
      <w:pPr>
        <w:pStyle w:val="TextBody"/>
        <w:bidi w:val="0"/>
        <w:spacing w:before="0" w:after="0"/>
        <w:jc w:val="center"/>
        <w:rPr/>
      </w:pPr>
      <w:r>
        <w:rPr>
          <w:b/>
          <w:color w:val="000000"/>
          <w:sz w:val="20"/>
        </w:rPr>
        <w:t>(760) 931-9200</w:t>
      </w:r>
      <w:r>
        <w:rPr/>
        <w:t xml:space="preserve"> </w:t>
      </w:r>
    </w:p>
    <w:p>
      <w:pPr>
        <w:pStyle w:val="TextBody"/>
        <w:bidi w:val="0"/>
        <w:spacing w:before="0" w:after="0"/>
        <w:jc w:val="center"/>
        <w:rPr/>
      </w:pPr>
      <w:r>
        <w:rPr>
          <w:color w:val="000000"/>
          <w:sz w:val="20"/>
        </w:rPr>
        <w:t>(Name, address, and telephone number, including area code, of agent for service)</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color w:val="000000"/>
          <w:sz w:val="20"/>
        </w:rPr>
        <w:t>Copies to:</w:t>
      </w:r>
      <w:r>
        <w:rPr/>
        <w:t xml:space="preserve"> </w:t>
      </w:r>
    </w:p>
    <w:p>
      <w:pPr>
        <w:pStyle w:val="TextBody"/>
        <w:bidi w:val="0"/>
        <w:spacing w:before="0" w:after="0"/>
        <w:jc w:val="center"/>
        <w:rPr/>
      </w:pPr>
      <w:r>
        <w:rPr>
          <w:b/>
          <w:color w:val="000000"/>
          <w:sz w:val="20"/>
        </w:rPr>
        <w:t>Patrick R. O’Neil, Esq.</w:t>
      </w:r>
      <w:r>
        <w:rPr/>
        <w:t xml:space="preserve"> </w:t>
      </w:r>
    </w:p>
    <w:p>
      <w:pPr>
        <w:pStyle w:val="TextBody"/>
        <w:bidi w:val="0"/>
        <w:spacing w:before="0" w:after="0"/>
        <w:jc w:val="center"/>
        <w:rPr/>
      </w:pPr>
      <w:r>
        <w:rPr>
          <w:b/>
          <w:color w:val="000000"/>
          <w:sz w:val="20"/>
        </w:rPr>
        <w:t>Executive Vice President, Chief Legal Officer, General Counsel and Corporate Secretary</w:t>
      </w:r>
      <w:r>
        <w:rPr/>
        <w:t xml:space="preserve"> </w:t>
      </w:r>
    </w:p>
    <w:p>
      <w:pPr>
        <w:pStyle w:val="TextBody"/>
        <w:bidi w:val="0"/>
        <w:spacing w:before="0" w:after="0"/>
        <w:jc w:val="center"/>
        <w:rPr/>
      </w:pPr>
      <w:r>
        <w:rPr>
          <w:b/>
          <w:color w:val="000000"/>
          <w:sz w:val="20"/>
        </w:rPr>
        <w:t>IONIS PHARMACEUTICALS, INC.</w:t>
      </w:r>
      <w:r>
        <w:rPr/>
        <w:t xml:space="preserve"> </w:t>
      </w:r>
    </w:p>
    <w:p>
      <w:pPr>
        <w:pStyle w:val="TextBody"/>
        <w:bidi w:val="0"/>
        <w:spacing w:before="0" w:after="0"/>
        <w:jc w:val="center"/>
        <w:rPr/>
      </w:pPr>
      <w:r>
        <w:rPr>
          <w:b/>
          <w:color w:val="000000"/>
          <w:sz w:val="20"/>
        </w:rPr>
        <w:t>2855 Gazelle Court</w:t>
      </w:r>
      <w:r>
        <w:rPr/>
        <w:t xml:space="preserve"> </w:t>
      </w:r>
    </w:p>
    <w:p>
      <w:pPr>
        <w:pStyle w:val="TextBody"/>
        <w:bidi w:val="0"/>
        <w:spacing w:before="0" w:after="0"/>
        <w:jc w:val="center"/>
        <w:rPr/>
      </w:pPr>
      <w:r>
        <w:rPr>
          <w:b/>
          <w:color w:val="000000"/>
          <w:sz w:val="20"/>
        </w:rPr>
        <w:t>Carlsbad, California 92010</w:t>
      </w:r>
      <w:r>
        <w:rPr/>
        <w:t xml:space="preserve"> </w:t>
      </w:r>
    </w:p>
    <w:p>
      <w:pPr>
        <w:pStyle w:val="TextBody"/>
        <w:bidi w:val="0"/>
        <w:spacing w:before="0" w:after="0"/>
        <w:jc w:val="center"/>
        <w:rPr/>
      </w:pPr>
      <w:r>
        <w:rPr>
          <w:b/>
          <w:color w:val="000000"/>
          <w:sz w:val="20"/>
        </w:rPr>
        <w:t>(760) 931-9200</w:t>
      </w:r>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7" w:type="dxa"/>
        <w:jc w:val="left"/>
        <w:tblInd w:w="0" w:type="dxa"/>
        <w:tblLayout w:type="fixed"/>
        <w:tblCellMar>
          <w:top w:w="28" w:type="dxa"/>
          <w:left w:w="28" w:type="dxa"/>
          <w:bottom w:w="28" w:type="dxa"/>
          <w:right w:w="28" w:type="dxa"/>
        </w:tblCellMar>
      </w:tblPr>
      <w:tblGrid>
        <w:gridCol w:w="2236"/>
        <w:gridCol w:w="2671"/>
      </w:tblGrid>
      <w:tr>
        <w:trPr/>
        <w:tc>
          <w:tcPr>
            <w:tcW w:w="223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 xml:space="preserve">Large accelerated filer </w:t>
            </w:r>
            <w:r>
              <w:rPr>
                <w:color w:val="000000"/>
              </w:rPr>
              <w:t>☒</w:t>
            </w:r>
            <w:r>
              <w:rPr/>
              <w:t xml:space="preserve"> </w:t>
            </w:r>
          </w:p>
        </w:tc>
        <w:tc>
          <w:tcPr>
            <w:tcW w:w="267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 xml:space="preserve">Accelerated filer </w:t>
            </w:r>
            <w:r>
              <w:rPr>
                <w:color w:val="000000"/>
              </w:rPr>
              <w:t>☐</w:t>
            </w:r>
            <w:r>
              <w:rPr/>
              <w:t xml:space="preserve"> </w:t>
            </w:r>
          </w:p>
        </w:tc>
      </w:tr>
      <w:tr>
        <w:trPr/>
        <w:tc>
          <w:tcPr>
            <w:tcW w:w="2236" w:type="dxa"/>
            <w:tcBorders/>
            <w:tcMar>
              <w:top w:w="0" w:type="dxa"/>
              <w:left w:w="0" w:type="dxa"/>
              <w:bottom w:w="0" w:type="dxa"/>
              <w:right w:w="0" w:type="dxa"/>
            </w:tcMar>
            <w:vAlign w:val="center"/>
          </w:tcPr>
          <w:p>
            <w:pPr>
              <w:pStyle w:val="TableContents"/>
              <w:bidi w:val="0"/>
              <w:spacing w:before="0" w:after="0"/>
              <w:jc w:val="center"/>
              <w:rPr/>
            </w:pPr>
            <w:r>
              <w:rPr>
                <w:color w:val="000000"/>
                <w:sz w:val="20"/>
              </w:rPr>
              <w:t xml:space="preserve">Non-accelerated filer </w:t>
            </w:r>
            <w:r>
              <w:rPr>
                <w:color w:val="000000"/>
              </w:rPr>
              <w:t>☐</w:t>
            </w:r>
            <w:r>
              <w:rPr/>
              <w:t xml:space="preserve"> </w:t>
            </w:r>
          </w:p>
        </w:tc>
        <w:tc>
          <w:tcPr>
            <w:tcW w:w="267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 xml:space="preserve">Smaller reporting company </w:t>
            </w:r>
            <w:r>
              <w:rPr>
                <w:color w:val="000000"/>
              </w:rPr>
              <w:t>☐</w:t>
            </w:r>
            <w:r>
              <w:rPr/>
              <w:t xml:space="preserve"> </w:t>
            </w:r>
          </w:p>
        </w:tc>
      </w:tr>
      <w:tr>
        <w:trPr/>
        <w:tc>
          <w:tcPr>
            <w:tcW w:w="2236" w:type="dxa"/>
            <w:tcBorders/>
            <w:tcMar>
              <w:top w:w="0" w:type="dxa"/>
              <w:left w:w="0" w:type="dxa"/>
              <w:bottom w:w="0" w:type="dxa"/>
              <w:right w:w="0" w:type="dxa"/>
            </w:tcMar>
            <w:vAlign w:val="center"/>
          </w:tcPr>
          <w:p>
            <w:pPr>
              <w:pStyle w:val="TableContents"/>
              <w:bidi w:val="0"/>
              <w:spacing w:before="0" w:after="0"/>
              <w:jc w:val="center"/>
              <w:rPr/>
            </w:pPr>
            <w:r>
              <w:rPr/>
              <w:t xml:space="preserve">  </w:t>
            </w:r>
          </w:p>
        </w:tc>
        <w:tc>
          <w:tcPr>
            <w:tcW w:w="2671" w:type="dxa"/>
            <w:tcBorders/>
            <w:tcMar>
              <w:top w:w="0" w:type="dxa"/>
              <w:left w:w="0" w:type="dxa"/>
              <w:bottom w:w="0" w:type="dxa"/>
              <w:right w:w="0" w:type="dxa"/>
            </w:tcMar>
            <w:vAlign w:val="center"/>
          </w:tcPr>
          <w:p>
            <w:pPr>
              <w:pStyle w:val="TableContents"/>
              <w:bidi w:val="0"/>
              <w:spacing w:before="0" w:after="0"/>
              <w:jc w:val="center"/>
              <w:rPr/>
            </w:pPr>
            <w:r>
              <w:rPr>
                <w:color w:val="000000"/>
                <w:sz w:val="20"/>
              </w:rPr>
              <w:t xml:space="preserve">Emerging growth company </w:t>
            </w:r>
            <w:r>
              <w:rPr>
                <w:color w:val="000000"/>
              </w:rPr>
              <w:t>☐</w:t>
            </w:r>
            <w:r>
              <w:rPr/>
              <w:t xml:space="preserve"> </w:t>
            </w:r>
          </w:p>
        </w:tc>
      </w:tr>
    </w:tbl>
    <w:p>
      <w:pPr>
        <w:pStyle w:val="TextBody"/>
        <w:bidi w:val="0"/>
        <w:spacing w:before="0" w:after="0"/>
        <w:jc w:val="left"/>
        <w:rPr/>
      </w:pPr>
      <w:r>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color w:val="000000"/>
          <w:sz w:val="20"/>
        </w:rPr>
        <w:t>PART I</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sz w:val="20"/>
        </w:rPr>
        <w:t>INFORMATION REQUIRED IN THE SECTION 10(A) PROSPECTUS</w:t>
      </w:r>
      <w:r>
        <w:rPr/>
        <w:t xml:space="preserve"> </w:t>
      </w:r>
    </w:p>
    <w:p>
      <w:pPr>
        <w:pStyle w:val="TextBody"/>
        <w:bidi w:val="0"/>
        <w:spacing w:before="0" w:after="0"/>
        <w:jc w:val="center"/>
        <w:rPr/>
      </w:pPr>
      <w:r>
        <w:rPr/>
        <w:t xml:space="preserve">  </w:t>
      </w:r>
    </w:p>
    <w:p>
      <w:pPr>
        <w:pStyle w:val="TextBody"/>
        <w:bidi w:val="0"/>
        <w:spacing w:before="0" w:after="0"/>
        <w:ind w:left="0" w:right="0" w:firstLine="900"/>
        <w:jc w:val="both"/>
        <w:rPr/>
      </w:pPr>
      <w:r>
        <w:rPr>
          <w:color w:val="000000"/>
          <w:sz w:val="20"/>
        </w:rPr>
        <w:t>The information called for by Part I of Form S-8 is omitted from this Registration Statement in accordance with Rule 428 of the Securities Act and the instructions to Form S-8. In accordance with the rules and regulations of the Securities and Exchange Commission (the “</w:t>
      </w:r>
      <w:r>
        <w:rPr>
          <w:b/>
          <w:i/>
          <w:color w:val="000000"/>
          <w:sz w:val="20"/>
        </w:rPr>
        <w:t>Commission</w:t>
      </w:r>
      <w:r>
        <w:rPr>
          <w:color w:val="000000"/>
        </w:rPr>
        <w:t>”</w:t>
      </w:r>
      <w:r>
        <w:rPr>
          <w:color w:val="000000"/>
          <w:sz w:val="20"/>
        </w:rPr>
        <w:t>) and the instructions to Form S-8, such documents are not being filed with the Commission either as part of this Registration Statement or as prospectuses or prospectus supplements pursuant to Rule 424.</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sz w:val="20"/>
        </w:rPr>
        <w:t>Part II</w:t>
      </w:r>
      <w:r>
        <w:rPr/>
        <w:t xml:space="preserve"> </w:t>
      </w:r>
    </w:p>
    <w:p>
      <w:pPr>
        <w:pStyle w:val="TextBody"/>
        <w:bidi w:val="0"/>
        <w:spacing w:before="0" w:after="0"/>
        <w:jc w:val="center"/>
        <w:rPr/>
      </w:pPr>
      <w:r>
        <w:rPr/>
        <w:t xml:space="preserve">  </w:t>
      </w:r>
    </w:p>
    <w:p>
      <w:pPr>
        <w:pStyle w:val="TextBody"/>
        <w:bidi w:val="0"/>
        <w:spacing w:before="0" w:after="0"/>
        <w:jc w:val="center"/>
        <w:rPr/>
      </w:pPr>
      <w:r>
        <w:rPr>
          <w:b/>
          <w:color w:val="000000"/>
          <w:sz w:val="20"/>
        </w:rPr>
        <w:t>INFORMATION REQUIRED IN THE REGISTRATION STATEMENT</w:t>
      </w:r>
      <w:r>
        <w:rPr/>
        <w:t xml:space="preserve"> </w:t>
      </w:r>
    </w:p>
    <w:p>
      <w:pPr>
        <w:pStyle w:val="TextBody"/>
        <w:bidi w:val="0"/>
        <w:spacing w:before="0" w:after="0"/>
        <w:jc w:val="center"/>
        <w:rPr/>
      </w:pPr>
      <w:r>
        <w:rPr/>
        <w:t xml:space="preserve">  </w:t>
      </w:r>
    </w:p>
    <w:p>
      <w:pPr>
        <w:pStyle w:val="TextBody"/>
        <w:bidi w:val="0"/>
        <w:spacing w:before="0" w:after="0"/>
        <w:ind w:left="0" w:right="0" w:hanging="900"/>
        <w:jc w:val="left"/>
        <w:rPr/>
      </w:pPr>
      <w:r>
        <w:rPr>
          <w:b/>
          <w:color w:val="000000"/>
          <w:sz w:val="20"/>
        </w:rPr>
        <w:t>Incorporation of Documents by Reference.</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715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color w:val="000000"/>
                                <w:sz w:val="20"/>
                              </w:rPr>
                              <w:t>Item 3.</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sz w:val="2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900"/>
        <w:jc w:val="both"/>
        <w:rPr/>
      </w:pPr>
      <w:r>
        <w:rPr>
          <w:color w:val="000000"/>
          <w:sz w:val="20"/>
        </w:rPr>
        <w:t>The following documents filed with the Commission by the Registrant are hereby incorporated by reference into this Registration Statement:</w:t>
      </w:r>
      <w:r>
        <w:rPr/>
        <w:t xml:space="preserve"> </w:t>
      </w:r>
    </w:p>
    <w:p>
      <w:pPr>
        <w:pStyle w:val="TextBody"/>
        <w:bidi w:val="0"/>
        <w:spacing w:before="0" w:after="0"/>
        <w:jc w:val="both"/>
        <w:rPr/>
      </w:pPr>
      <w:r>
        <w:rPr/>
        <w:t xml:space="preserve">  </w:t>
      </w:r>
    </w:p>
    <w:p>
      <w:pPr>
        <w:pStyle w:val="TextBody"/>
        <w:bidi w:val="0"/>
        <w:spacing w:before="0" w:after="0"/>
        <w:ind w:left="0" w:right="0" w:hanging="720"/>
        <w:jc w:val="left"/>
        <w:rPr/>
      </w:pPr>
      <w:r>
        <w:rPr>
          <w:sz w:val="20"/>
        </w:rPr>
        <w:t>the Registrant’s Annual Report on Form 10-K for the year ended December 31, 2025, as filed with the Commission on</w:t>
      </w:r>
      <w:r>
        <w:rPr>
          <w:color w:val="0563C1"/>
        </w:rPr>
        <w:t> </w:t>
      </w:r>
      <w:hyperlink r:id="rId2">
        <w:r>
          <w:rPr>
            <w:rStyle w:val="InternetLink"/>
            <w:sz w:val="20"/>
          </w:rPr>
          <w:t>February 26, 2026</w:t>
        </w:r>
      </w:hyperlink>
      <w:r>
        <w:rPr>
          <w:sz w:val="20"/>
        </w:rPr>
        <w:t>,</w:t>
      </w:r>
      <w:r>
        <w:rPr>
          <w:color w:val="000000"/>
        </w:rPr>
        <w:t xml:space="preserve"> </w:t>
      </w:r>
      <w:r>
        <w:rPr>
          <w:color w:val="000000"/>
          <w:sz w:val="20"/>
        </w:rPr>
        <w:t>and the information specifically incorporated by reference into the Registrant’s Annual Report on Form 10-K for the year ended December 31, 2025, from the Registrant’s Definitive Proxy Statement on Schedule 14A, as filed with the Commission on</w:t>
      </w:r>
      <w:r>
        <w:rPr>
          <w:color w:val="0563C1"/>
        </w:rPr>
        <w:t> </w:t>
      </w:r>
      <w:hyperlink r:id="rId3">
        <w:r>
          <w:rPr>
            <w:rStyle w:val="InternetLink"/>
            <w:sz w:val="20"/>
          </w:rPr>
          <w:t>April 23, 2026</w:t>
        </w:r>
      </w:hyperlink>
      <w:r>
        <w:rPr>
          <w:sz w:val="20"/>
        </w:rPr>
        <w:t>;</w:t>
      </w:r>
      <w:r>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(a)</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(a)</w:t>
                      </w:r>
                      <w:r>
                        <w:rPr/>
                        <w:t xml:space="preserve"> </w:t>
                      </w:r>
                    </w:p>
                  </w:txbxContent>
                </v:textbox>
                <w10:wrap type="square" side="right"/>
              </v:rect>
            </w:pict>
          </mc:Fallback>
        </mc:AlternateContent>
      </w:r>
    </w:p>
    <w:p>
      <w:pPr>
        <w:pStyle w:val="TextBody"/>
        <w:bidi w:val="0"/>
        <w:spacing w:before="0" w:after="0"/>
        <w:ind w:left="0" w:right="0" w:hanging="720"/>
        <w:jc w:val="left"/>
        <w:rPr/>
      </w:pPr>
      <w:r>
        <w:rPr>
          <w:sz w:val="20"/>
        </w:rPr>
        <w:t>the Registrant’s Quarterly Report on Form 10-Q for the quarterly period ended March 31, 2026, as filed with the Commission on</w:t>
      </w:r>
      <w:r>
        <w:rPr>
          <w:color w:val="0563C1"/>
        </w:rPr>
        <w:t> </w:t>
      </w:r>
      <w:hyperlink r:id="rId4">
        <w:r>
          <w:rPr>
            <w:rStyle w:val="InternetLink"/>
            <w:sz w:val="20"/>
          </w:rPr>
          <w:t>April 29, 2026</w:t>
        </w:r>
      </w:hyperlink>
      <w:r>
        <w:rPr>
          <w:sz w:val="20"/>
        </w:rPr>
        <w:t>; the Registrant’s Quarterly Report on Form 10-Q for the quarterly period ended June 30, 2026, as filed with the Commission on</w:t>
      </w:r>
      <w:r>
        <w:rPr>
          <w:color w:val="0563C1"/>
        </w:rPr>
        <w:t> </w:t>
      </w:r>
      <w:hyperlink r:id="rId5">
        <w:r>
          <w:rPr>
            <w:rStyle w:val="InternetLink"/>
            <w:sz w:val="20"/>
          </w:rPr>
          <w:t>July 29, 2026</w:t>
        </w:r>
      </w:hyperlink>
      <w:r>
        <w:rPr>
          <w:sz w:val="20"/>
        </w:rPr>
        <w:t>; the Registrant’s Current Reports on Form 8-K filed with the Commission on</w:t>
      </w:r>
      <w:r>
        <w:rPr>
          <w:color w:val="0563C1"/>
        </w:rPr>
        <w:t> </w:t>
      </w:r>
      <w:hyperlink r:id="rId6">
        <w:r>
          <w:rPr>
            <w:rStyle w:val="InternetLink"/>
            <w:sz w:val="20"/>
          </w:rPr>
          <w:t>March 9, 2026</w:t>
        </w:r>
      </w:hyperlink>
      <w:r>
        <w:rPr>
          <w:sz w:val="20"/>
        </w:rPr>
        <w:t xml:space="preserve">, </w:t>
      </w:r>
      <w:hyperlink r:id="rId7">
        <w:r>
          <w:rPr>
            <w:rStyle w:val="InternetLink"/>
            <w:sz w:val="20"/>
          </w:rPr>
          <w:t>April 21, 2026</w:t>
        </w:r>
      </w:hyperlink>
      <w:r>
        <w:rPr>
          <w:sz w:val="20"/>
        </w:rPr>
        <w:t xml:space="preserve">, </w:t>
      </w:r>
      <w:hyperlink r:id="rId8">
        <w:r>
          <w:rPr>
            <w:rStyle w:val="InternetLink"/>
            <w:sz w:val="20"/>
          </w:rPr>
          <w:t>May 28, 2026</w:t>
        </w:r>
      </w:hyperlink>
      <w:r>
        <w:rPr>
          <w:sz w:val="20"/>
        </w:rPr>
        <w:t xml:space="preserve">, </w:t>
      </w:r>
      <w:hyperlink r:id="rId9">
        <w:r>
          <w:rPr>
            <w:rStyle w:val="InternetLink"/>
            <w:sz w:val="20"/>
          </w:rPr>
          <w:t>June 8, 2026</w:t>
        </w:r>
      </w:hyperlink>
      <w:r>
        <w:rPr>
          <w:sz w:val="20"/>
        </w:rPr>
        <w:t xml:space="preserve">, </w:t>
      </w:r>
      <w:hyperlink r:id="rId10">
        <w:r>
          <w:rPr>
            <w:rStyle w:val="InternetLink"/>
            <w:sz w:val="20"/>
          </w:rPr>
          <w:t>June 12, 2026</w:t>
        </w:r>
      </w:hyperlink>
      <w:r>
        <w:rPr>
          <w:sz w:val="20"/>
        </w:rPr>
        <w:t xml:space="preserve">, </w:t>
      </w:r>
      <w:hyperlink r:id="rId11">
        <w:r>
          <w:rPr>
            <w:rStyle w:val="InternetLink"/>
            <w:sz w:val="20"/>
          </w:rPr>
          <w:t>June 24, 2026</w:t>
        </w:r>
      </w:hyperlink>
      <w:r>
        <w:rPr>
          <w:sz w:val="20"/>
        </w:rPr>
        <w:t xml:space="preserve">, </w:t>
      </w:r>
      <w:hyperlink r:id="rId12">
        <w:r>
          <w:rPr>
            <w:rStyle w:val="InternetLink"/>
            <w:sz w:val="20"/>
          </w:rPr>
          <w:t>July 9, 2026</w:t>
        </w:r>
      </w:hyperlink>
      <w:r>
        <w:rPr>
          <w:sz w:val="20"/>
        </w:rPr>
        <w:t>,</w:t>
      </w:r>
      <w:hyperlink r:id="rId13">
        <w:r>
          <w:rPr>
            <w:rStyle w:val="InternetLink"/>
            <w:sz w:val="20"/>
          </w:rPr>
          <w:t xml:space="preserve"> July 10, 2026</w:t>
        </w:r>
      </w:hyperlink>
      <w:r>
        <w:rPr>
          <w:sz w:val="20"/>
        </w:rPr>
        <w:t xml:space="preserve">, and </w:t>
      </w:r>
      <w:hyperlink r:id="rId14">
        <w:r>
          <w:rPr>
            <w:rStyle w:val="InternetLink"/>
            <w:sz w:val="20"/>
          </w:rPr>
          <w:t>July 29, 2026</w:t>
        </w:r>
      </w:hyperlink>
      <w:r>
        <w:rPr>
          <w:sz w:val="20"/>
        </w:rPr>
        <w:t>; and</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sz w:val="20"/>
                              </w:rPr>
                              <w:t>(b)</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(b)</w:t>
                      </w:r>
                      <w:r>
                        <w:rPr/>
                        <w:t xml:space="preserve"> </w:t>
                      </w:r>
                    </w:p>
                  </w:txbxContent>
                </v:textbox>
                <w10:wrap type="square" side="right"/>
              </v:rect>
            </w:pict>
          </mc:Fallback>
        </mc:AlternateContent>
      </w:r>
    </w:p>
    <w:p>
      <w:pPr>
        <w:pStyle w:val="TextBody"/>
        <w:bidi w:val="0"/>
        <w:spacing w:before="0" w:after="0"/>
        <w:ind w:left="0" w:right="0" w:hanging="720"/>
        <w:jc w:val="left"/>
        <w:rPr/>
      </w:pPr>
      <w:r>
        <w:rPr/>
        <w:t xml:space="preserve">the description of the Registrant’s Common Stock set forth in </w:t>
      </w:r>
      <w:hyperlink r:id="rId15">
        <w:r>
          <w:rPr>
            <w:rStyle w:val="InternetLink"/>
          </w:rPr>
          <w:t>Exhibit 4.1</w:t>
        </w:r>
      </w:hyperlink>
      <w:r>
        <w:rPr/>
        <w:t xml:space="preserve"> to the Registrant’s Annual Report on Form 10-K for the fiscal year ended December 31, 2025, filed with the Commission on February 26, 2026.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ind w:left="0" w:right="0" w:firstLine="900"/>
        <w:jc w:val="both"/>
        <w:rPr/>
      </w:pPr>
      <w:r>
        <w:rPr>
          <w:color w:val="000000"/>
          <w:sz w:val="20"/>
        </w:rPr>
        <w:t>All documents filed by the Registrant with the Commission pursuant to Sections 13(a), 13(c), 14 and 15(d) of the Securities Exchange Act of 1934, as amended (the “</w:t>
      </w:r>
      <w:r>
        <w:rPr>
          <w:b/>
          <w:i/>
          <w:color w:val="000000"/>
          <w:sz w:val="20"/>
        </w:rPr>
        <w:t>Exchange Act</w:t>
      </w:r>
      <w:r>
        <w:rPr>
          <w:color w:val="000000"/>
        </w:rPr>
        <w:t>”</w:t>
      </w:r>
      <w:r>
        <w:rPr>
          <w:color w:val="000000"/>
          <w:sz w:val="20"/>
        </w:rPr>
        <w: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provided, however, that documents or information or portions thereof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r>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(c)</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900"/>
        <w:jc w:val="both"/>
        <w:rPr/>
      </w:pPr>
      <w:r>
        <w:rPr>
          <w:b/>
          <w:color w:val="000000"/>
          <w:sz w:val="20"/>
        </w:rPr>
        <w:t>Interests of Named Experts and Counsel.</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5715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color w:val="000000"/>
                                <w:sz w:val="20"/>
                              </w:rPr>
                              <w:t>Item 5.</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sz w:val="20"/>
                        </w:rPr>
                        <w:t>Item 5.</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The validity of the issuance of the common stock offered in this Registration Statement will be passed upon for the Registrant by Patrick R. O’Neil, Executive Vice President, Chief Legal Officer, General Counsel and Corporate Secretary of Ionis.</w:t>
      </w:r>
      <w:r>
        <w:rPr/>
        <w:t xml:space="preserve"> </w: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Mr. O’Neil holds or has the right to acquire shares of Ionis’ Common Stock in an aggregate amount that is less than 1% of Ionis’ outstanding Common Stock.</w:t>
      </w:r>
      <w:r>
        <w:rPr/>
        <w:t xml:space="preserve"> </w:t>
      </w:r>
    </w:p>
    <w:p>
      <w:pPr>
        <w:pStyle w:val="TextBody"/>
        <w:bidi w:val="0"/>
        <w:spacing w:before="0" w:after="0"/>
        <w:jc w:val="both"/>
        <w:rPr/>
      </w:pPr>
      <w:r>
        <w:rPr/>
        <w:t> </w:t>
      </w:r>
    </w:p>
    <w:p>
      <w:pPr>
        <w:pStyle w:val="TextBody"/>
        <w:bidi w:val="0"/>
        <w:spacing w:before="0" w:after="0"/>
        <w:ind w:left="0" w:right="0" w:hanging="0"/>
        <w:jc w:val="both"/>
        <w:rPr/>
      </w:pPr>
      <w:r>
        <w:rPr>
          <w:b/>
          <w:spacing w:val="0"/>
        </w:rPr>
        <w:t>Indemnification of Directors and Officers.</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5715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rPr>
                              <w:t>Item 6.</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6.</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Under Section 145 of the Delaware General Corporation Law (the “</w:t>
      </w:r>
      <w:r>
        <w:rPr>
          <w:b/>
          <w:i/>
          <w:color w:val="000000"/>
          <w:sz w:val="20"/>
        </w:rPr>
        <w:t>DGCL</w:t>
      </w:r>
      <w:r>
        <w:rPr>
          <w:color w:val="000000"/>
        </w:rPr>
        <w:t>”</w:t>
      </w:r>
      <w:r>
        <w:rPr>
          <w:color w:val="000000"/>
          <w:sz w:val="20"/>
        </w:rPr>
        <w:t>), we have broad powers to indemnify our directors and officers against liabilities they may incur in such capacities, including liabilities under the Securities Act.</w:t>
      </w:r>
      <w:r>
        <w:rPr/>
        <w:t xml:space="preserve"> </w: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Our certificate of incorporation and bylaws include provisions to (i) eliminate the personal liability of its directors for monetary damages resulting from breaches of their fiduciary duty to the extent permitted by Section 102(b)(7) of the DGCL and (ii) require us to indemnify our directors and officers to the fullest extent permitted by Section 145 of the DGCL, including circumstances in which indemnification is otherwise discretionary. Pursuant to Section 145 of the DGCL, a corporation generally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 of the corporation, and with respect to any criminal action, they had no reasonable cause to believe their conduct was unlawful. We believe that these provisions are necessary to attract and retain qualified persons as directors and officers. These provisions do not eliminate the directors’ duty of care, and, in appropriate circumstances, equitable remedies such as injunctive or other forms of non-monetary relief will remain available under Delaware law. In addition, each director will continue to be subject to liability for breach of the director’s duty of loyalty to us, for acts or omissions not in good faith or involving intentional misconduct, for knowing violations of law, for acts or omissions that the director believes to be contrary to the best interests of Ionis or our stockholders, for any transaction from which the director derived an improper personal benefit, for acts or omissions involving a reckless disregard for the director’s duty to Ionis or our stockholders when the director was aware or should have been aware of a risk of serious injury to Ionis or our stockholders, for acts or omissions that constitute an unexcused pattern of inattention that amounts to an abdication of the director’s duty to Ionis or our stockholders, for improper transactions between the director and us and for improper distributions to stockholders and loans to directors and officers. The provision also does not affect a director’s responsibilities under any other law, such as the federal securities law or state or federal environmental laws.</w:t>
      </w:r>
      <w:r>
        <w:rPr/>
        <w:t xml:space="preserve"> </w: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We have entered into indemnity agreements with each of our directors and executive officers that require us to indemnify such persons against expenses, judgments, fines, settlements and other amounts incurred (including expenses of a derivative action) in connection with any proceeding, whether actual or threatened, to which any such person may be made a party by reason of the fact that such person is or was a director or an executive officer of Ionis or any of our affiliated enterprises, provided such person acted in good faith and in a manner such persons reasonably believed to be in, or not opposed to, the best interests of Ionis and, with respect to any criminal proceeding, has no reasonable cause to believe his conduct was unlawful. The indemnification agreements also set forth procedures that will apply in the event of a claim for indemnification thereunder.</w:t>
      </w:r>
      <w:r>
        <w:rPr/>
        <w:t xml:space="preserve"> </w: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We have an insurance policy covering our officers and directors with respect to certain liabilities, including liabilities arising under the Securities Act or otherwise.</w:t>
      </w:r>
      <w:r>
        <w:rPr/>
        <w:t xml:space="preserve"> </w:t>
      </w:r>
    </w:p>
    <w:p>
      <w:pPr>
        <w:pStyle w:val="TextBody"/>
        <w:bidi w:val="0"/>
        <w:spacing w:before="0" w:after="0"/>
        <w:jc w:val="left"/>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900"/>
        <w:jc w:val="left"/>
        <w:rPr/>
      </w:pPr>
      <w:r>
        <w:rPr>
          <w:b/>
          <w:color w:val="000000"/>
          <w:sz w:val="20"/>
        </w:rPr>
        <w:t>Exhibits.</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5715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color w:val="000000"/>
                                <w:sz w:val="20"/>
                              </w:rPr>
                              <w:t>Item 8.</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sz w:val="20"/>
                        </w:rPr>
                        <w:t>Item 8.</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206"/>
        <w:gridCol w:w="146"/>
        <w:gridCol w:w="8853"/>
      </w:tblGrid>
      <w:tr>
        <w:trPr/>
        <w:tc>
          <w:tcPr>
            <w:tcW w:w="1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53" w:type="dxa"/>
            <w:tcBorders/>
            <w:vAlign w:val="center"/>
          </w:tcPr>
          <w:p>
            <w:pPr>
              <w:pStyle w:val="TableContents"/>
              <w:bidi w:val="0"/>
              <w:spacing w:before="0" w:after="283"/>
              <w:jc w:val="left"/>
              <w:rPr/>
            </w:pPr>
            <w:r>
              <w:rPr/>
              <w:t> </w:t>
            </w:r>
          </w:p>
        </w:tc>
      </w:tr>
      <w:tr>
        <w:trPr/>
        <w:tc>
          <w:tcPr>
            <w:tcW w:w="120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b/>
                <w:color w:val="000000"/>
              </w:rPr>
              <w:t>Exhibit 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b/>
                <w:color w:val="000000"/>
              </w:rPr>
              <w:t>Description</w:t>
            </w:r>
            <w:r>
              <w:rPr/>
              <w:t xml:space="preserve">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Amended and Restated Certificate of Incorporation (1).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r>
              <w:rPr/>
              <w:t xml:space="preserve">4.2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t xml:space="preserve">Certificate of Amendment to Restated Certificate of Incorporation (2).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Certificate of Amendment to Restated Certificate of Incorporation (3).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r>
              <w:rPr/>
              <w:t xml:space="preserve">4.4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t xml:space="preserve">Amended and Restated Bylaws (4).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Certificate of Designation of the Series C Junior Participating Preferred Stock (5).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r>
              <w:rPr/>
              <w:t xml:space="preserve">4.6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t xml:space="preserve">Specimen Common Stock Certificate (6).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139_ex5-1.htm">
              <w:r>
                <w:rPr>
                  <w:rStyle w:val="InternetLink"/>
                </w:rPr>
                <w:t>5.1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Opinion of Patrick R. O’Neil.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hyperlink w:anchor="ef20079139_ex23-1.htm">
              <w:r>
                <w:rPr>
                  <w:rStyle w:val="InternetLink"/>
                </w:rPr>
                <w:t>23.1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t xml:space="preserve">Consent of Independent Registered Public Accounting Firm.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139_ex5-1.htm">
              <w:r>
                <w:rPr>
                  <w:rStyle w:val="InternetLink"/>
                </w:rPr>
                <w:t>23.2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Consent of Patrick R. O’Neil. Reference is made to Exhibit 5.1.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hyperlink w:anchor="POWER_OF_ATTORNEY">
              <w:r>
                <w:rPr>
                  <w:rStyle w:val="InternetLink"/>
                </w:rPr>
                <w:t>24.1</w:t>
              </w:r>
            </w:hyperlink>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t xml:space="preserve">Power of Attorney is contained on the signature pages.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99.1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color w:val="000000"/>
              </w:rPr>
              <w:t>Amended and Restated Ionis Pharmaceuticals, Inc. 2011 Equity Incentive Plan (7).</w:t>
            </w:r>
            <w:r>
              <w:rPr/>
              <w:t xml:space="preserve">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r>
              <w:rPr/>
              <w:t xml:space="preserve">99.2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t xml:space="preserve">Form of Option Agreement for Options granted under the Amended and Restated Ionis Pharmaceuticals, Inc. 2011 Equity Incentive Plan (8).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99.3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color w:val="000000"/>
              </w:rPr>
              <w:t>Form of Time-Vested Restricted Stock Unit Agreement for Restricted Stock Units granted under the Amended and Restated Ionis Pharmaceuticals, Inc. 2011 Equity Incentive Plan (9).</w:t>
            </w:r>
            <w:r>
              <w:rPr/>
              <w:t xml:space="preserve">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r>
              <w:rPr/>
              <w:t xml:space="preserve">99.4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color w:val="000000"/>
              </w:rPr>
              <w:t>Forms of Performance Based Restricted Stock Unit Grant Notice and Performance Based Restricted Stock Unit Agreement for Performance Based Restricted Stock Units granted prior to January 1, 2023 under the Amended and Restated Ionis Pharmaceuticals, Inc. 2011 Equity Incentive Plan (10).</w:t>
            </w:r>
            <w:r>
              <w:rPr/>
              <w:t xml:space="preserve">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99.5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color w:val="000000"/>
              </w:rPr>
              <w:t>Forms of Performance Based Restricted Stock Unit Grant Notice and Performance Based Restricted Stock Unit Agreement for Performance Based Restricted Stock Units granted beginning January 1, 2023 under the Amended and Restated Ionis Pharmaceuticals, Inc. 2011 Equity Incentive Plan (11).</w:t>
            </w:r>
            <w:r>
              <w:rPr/>
              <w:t xml:space="preserve"> </w:t>
            </w:r>
          </w:p>
        </w:tc>
      </w:tr>
      <w:tr>
        <w:trPr/>
        <w:tc>
          <w:tcPr>
            <w:tcW w:w="1206" w:type="dxa"/>
            <w:tcBorders/>
            <w:tcMar>
              <w:top w:w="0" w:type="dxa"/>
              <w:left w:w="0" w:type="dxa"/>
              <w:bottom w:w="0" w:type="dxa"/>
              <w:right w:w="0" w:type="dxa"/>
            </w:tcMar>
            <w:vAlign w:val="center"/>
          </w:tcPr>
          <w:p>
            <w:pPr>
              <w:pStyle w:val="TableContents"/>
              <w:bidi w:val="0"/>
              <w:spacing w:before="0" w:after="283"/>
              <w:jc w:val="both"/>
              <w:rPr/>
            </w:pPr>
            <w:r>
              <w:rPr/>
              <w:t xml:space="preserve">99.6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tcMar>
              <w:top w:w="0" w:type="dxa"/>
              <w:left w:w="0" w:type="dxa"/>
              <w:bottom w:w="0" w:type="dxa"/>
              <w:right w:w="0" w:type="dxa"/>
            </w:tcMar>
            <w:vAlign w:val="center"/>
          </w:tcPr>
          <w:p>
            <w:pPr>
              <w:pStyle w:val="TableContents"/>
              <w:bidi w:val="0"/>
              <w:spacing w:before="0" w:after="283"/>
              <w:jc w:val="both"/>
              <w:rPr/>
            </w:pPr>
            <w:r>
              <w:rPr>
                <w:color w:val="000000"/>
              </w:rPr>
              <w:t>Amended and Restated Ionis Pharmaceuticals, Inc. 2000 Employee Stock Purchase Plan (12).</w:t>
            </w:r>
            <w:r>
              <w:rPr/>
              <w:t xml:space="preserve"> </w:t>
            </w:r>
          </w:p>
        </w:tc>
      </w:tr>
      <w:tr>
        <w:trPr/>
        <w:tc>
          <w:tcPr>
            <w:tcW w:w="1206"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139_ex107.htm">
              <w:r>
                <w:rPr>
                  <w:rStyle w:val="InternetLink"/>
                </w:rPr>
                <w:t>107</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853" w:type="dxa"/>
            <w:tcBorders/>
            <w:shd w:fill="CCEEFF" w:val="clear"/>
            <w:tcMar>
              <w:top w:w="0" w:type="dxa"/>
              <w:left w:w="0" w:type="dxa"/>
              <w:bottom w:w="0" w:type="dxa"/>
              <w:right w:w="0" w:type="dxa"/>
            </w:tcMar>
            <w:vAlign w:val="center"/>
          </w:tcPr>
          <w:p>
            <w:pPr>
              <w:pStyle w:val="TableContents"/>
              <w:bidi w:val="0"/>
              <w:spacing w:before="0" w:after="283"/>
              <w:jc w:val="both"/>
              <w:rPr/>
            </w:pPr>
            <w:r>
              <w:rPr>
                <w:color w:val="000000"/>
              </w:rPr>
              <w:t>Filing Fee Table.</w:t>
            </w:r>
            <w:r>
              <w:rPr/>
              <w:t xml:space="preserve"> </w:t>
            </w:r>
          </w:p>
        </w:tc>
      </w:tr>
    </w:tbl>
    <w:p>
      <w:pPr>
        <w:pStyle w:val="TextBody"/>
        <w:bidi w:val="0"/>
        <w:spacing w:before="0" w:after="0"/>
        <w:jc w:val="left"/>
        <w:rPr/>
      </w:pPr>
      <w:r>
        <w:rPr/>
        <w:t xml:space="preserve">  </w:t>
      </w:r>
    </w:p>
    <w:p>
      <w:pPr>
        <w:pStyle w:val="TextBody"/>
        <w:bidi w:val="0"/>
        <w:spacing w:before="0" w:after="0"/>
        <w:ind w:left="0" w:right="0" w:hanging="720"/>
        <w:jc w:val="both"/>
        <w:rPr/>
      </w:pPr>
      <w:r>
        <w:rPr>
          <w:color w:val="000000"/>
          <w:sz w:val="20"/>
        </w:rPr>
        <w:t xml:space="preserve">Filed as an exhibit to the Registrant’s Annual Report on Form 10-K for the year ended </w:t>
      </w:r>
      <w:hyperlink r:id="rId16">
        <w:r>
          <w:rPr>
            <w:rStyle w:val="InternetLink"/>
            <w:sz w:val="20"/>
          </w:rPr>
          <w:t>December 31, 2017</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sz w:val="20"/>
        </w:rPr>
        <w:t xml:space="preserve">Filed as an appendix to the Registrant’s Notice of 2014 Annual Meeting of Stockholders and Proxy Statement filed on </w:t>
      </w:r>
      <w:hyperlink r:id="rId17">
        <w:r>
          <w:rPr>
            <w:rStyle w:val="InternetLink"/>
            <w:sz w:val="20"/>
          </w:rPr>
          <w:t>April 25, 2014</w:t>
        </w:r>
      </w:hyperlink>
      <w:r>
        <w:rPr>
          <w:sz w:val="20"/>
        </w:rPr>
        <w:t xml:space="preserve">, </w:t>
      </w:r>
      <w:r>
        <w:rPr>
          <w:color w:val="000000"/>
          <w:sz w:val="20"/>
        </w:rPr>
        <w:t>and incorporated herein by reference.</w:t>
      </w:r>
      <w:r>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(2)</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the Registrant’s Current Report on Form 8-K filed </w:t>
      </w:r>
      <w:hyperlink r:id="rId18">
        <w:r>
          <w:rPr>
            <w:rStyle w:val="InternetLink"/>
            <w:sz w:val="20"/>
          </w:rPr>
          <w:t>December 18, 2015</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(3)</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the Registrant’s Current Report on Form 8-K filed </w:t>
      </w:r>
      <w:hyperlink r:id="rId19">
        <w:r>
          <w:rPr>
            <w:rStyle w:val="InternetLink"/>
            <w:sz w:val="20"/>
          </w:rPr>
          <w:t>March 29, 2021</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(4)</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Registrant’s Current Report on Form 8-K filed </w:t>
      </w:r>
      <w:hyperlink r:id="rId20">
        <w:r>
          <w:rPr>
            <w:rStyle w:val="InternetLink"/>
            <w:sz w:val="20"/>
          </w:rPr>
          <w:t>December 13, 2000</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(5)</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the Registrant’s Annual Report on Form 10-K for the year ended </w:t>
      </w:r>
      <w:hyperlink r:id="rId21">
        <w:r>
          <w:rPr>
            <w:rStyle w:val="InternetLink"/>
            <w:sz w:val="20"/>
          </w:rPr>
          <w:t>December 31, 2017</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(6)</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appendix to the Registrant’s </w:t>
      </w:r>
      <w:r>
        <w:rPr>
          <w:sz w:val="20"/>
        </w:rPr>
        <w:t xml:space="preserve">Notice of 2026 Annual Meeting of Stockholders and Proxy Statement filed with the SEC on </w:t>
      </w:r>
      <w:r>
        <w:fldChar w:fldCharType="begin"/>
      </w:r>
      <w:r>
        <w:rPr>
          <w:rStyle w:val="InternetLink"/>
          <w:sz w:val="20"/>
        </w:rPr>
        <w:instrText xml:space="preserve"> HYPERLINK "https://www.sec.gov/ix?doc=/Archives/edgar/data/0000874015/000114036126016388/ny20063671x1_def14a.htm" \l "tAPPA"</w:instrText>
      </w:r>
      <w:r>
        <w:rPr>
          <w:rStyle w:val="InternetLink"/>
          <w:sz w:val="20"/>
        </w:rPr>
        <w:fldChar w:fldCharType="separate"/>
      </w:r>
      <w:r>
        <w:rPr>
          <w:rStyle w:val="InternetLink"/>
          <w:sz w:val="20"/>
        </w:rPr>
        <w:t>April 23, 2026</w:t>
      </w:r>
      <w:r>
        <w:rPr>
          <w:rStyle w:val="InternetLink"/>
          <w:sz w:val="20"/>
        </w:rPr>
        <w:fldChar w:fldCharType="end"/>
      </w:r>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(7)</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the Registrant’s Annual Report on Form 10-K for the year December 31, 2022, filed with the SEC on </w:t>
      </w:r>
      <w:hyperlink r:id="rId22">
        <w:r>
          <w:rPr>
            <w:rStyle w:val="InternetLink"/>
            <w:sz w:val="20"/>
          </w:rPr>
          <w:t>February 22, 2023</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(8)</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the Registrant’s Annual Report on Form 10-K for the year December 31, 2022, filed with the SEC on </w:t>
      </w:r>
      <w:hyperlink r:id="rId23">
        <w:r>
          <w:rPr>
            <w:rStyle w:val="InternetLink"/>
            <w:sz w:val="20"/>
          </w:rPr>
          <w:t>February 22, 2023</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(9)</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720"/>
        <w:jc w:val="both"/>
        <w:rPr/>
      </w:pPr>
      <w:r>
        <w:rPr>
          <w:color w:val="000000"/>
          <w:sz w:val="20"/>
        </w:rPr>
        <w:t xml:space="preserve">Filed as an exhibit to the Registrant’s Annual Report on Form 10-K for the year ended </w:t>
      </w:r>
      <w:hyperlink r:id="rId24">
        <w:r>
          <w:rPr>
            <w:rStyle w:val="InternetLink"/>
            <w:sz w:val="20"/>
          </w:rPr>
          <w:t>December 31, 2021</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(10)</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(10)</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exhibit to the Registrant’s Annual Report on Form 10-K for the year ended </w:t>
      </w:r>
      <w:hyperlink r:id="rId25">
        <w:r>
          <w:rPr>
            <w:rStyle w:val="InternetLink"/>
            <w:sz w:val="20"/>
          </w:rPr>
          <w:t>December 31, 2022</w:t>
        </w:r>
      </w:hyperlink>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(11)</w:t>
                      </w:r>
                      <w:r>
                        <w:rPr/>
                        <w:t xml:space="preserve">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720"/>
        <w:jc w:val="both"/>
        <w:rPr/>
      </w:pPr>
      <w:r>
        <w:rPr>
          <w:color w:val="000000"/>
          <w:sz w:val="20"/>
        </w:rPr>
        <w:t xml:space="preserve">Filed as an appendix to the Registrant’s </w:t>
      </w:r>
      <w:r>
        <w:rPr>
          <w:sz w:val="20"/>
        </w:rPr>
        <w:t xml:space="preserve">Notice of 2026 Annual Meeting of Stockholders and Proxy Statement filed with the SEC on </w:t>
      </w:r>
      <w:r>
        <w:fldChar w:fldCharType="begin"/>
      </w:r>
      <w:r>
        <w:rPr>
          <w:rStyle w:val="InternetLink"/>
          <w:sz w:val="20"/>
        </w:rPr>
        <w:instrText xml:space="preserve"> HYPERLINK "https://www.sec.gov/ix?doc=/Archives/edgar/data/0000874015/000114036126016388/ny20063671x1_def14a.htm" \l "tAPPA"</w:instrText>
      </w:r>
      <w:r>
        <w:rPr>
          <w:rStyle w:val="InternetLink"/>
          <w:sz w:val="20"/>
        </w:rPr>
        <w:fldChar w:fldCharType="separate"/>
      </w:r>
      <w:r>
        <w:rPr>
          <w:rStyle w:val="InternetLink"/>
          <w:sz w:val="20"/>
        </w:rPr>
        <w:t>April 23, 2026</w:t>
      </w:r>
      <w:r>
        <w:rPr>
          <w:rStyle w:val="InternetLink"/>
          <w:sz w:val="20"/>
        </w:rPr>
        <w:fldChar w:fldCharType="end"/>
      </w:r>
      <w:r>
        <w:rPr>
          <w:color w:val="000000"/>
          <w:sz w:val="20"/>
        </w:rPr>
        <w:t>, and incorporated herein by reference.</w:t>
      </w:r>
      <w:r>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0"/>
                              </w:rPr>
                              <w:t>(12)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0"/>
                        </w:rPr>
                        <w:t>(12)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900"/>
        <w:jc w:val="both"/>
        <w:rPr/>
      </w:pPr>
      <w:r>
        <w:rPr>
          <w:b/>
          <w:color w:val="000000"/>
          <w:sz w:val="20"/>
        </w:rPr>
        <w:t>Undertakings.</w:t>
      </w:r>
      <w:r>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5715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b/>
                                <w:color w:val="000000"/>
                                <w:sz w:val="20"/>
                              </w:rPr>
                              <w:t>Item 9.</w:t>
                            </w:r>
                            <w:r>
                              <w:rPr/>
                              <w:t xml:space="preserve"> </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color w:val="000000"/>
                          <w:sz w:val="20"/>
                        </w:rPr>
                        <w:t>Item 9.</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720"/>
        <w:jc w:val="both"/>
        <w:rPr/>
      </w:pPr>
      <w:r>
        <w:rPr>
          <w:color w:val="000000"/>
          <w:sz w:val="20"/>
        </w:rPr>
        <w:t>(a) The undersigned Registrant hereby undertakes:</w:t>
      </w:r>
      <w:r>
        <w:rPr/>
        <w:t xml:space="preserve"> </w:t>
      </w:r>
    </w:p>
    <w:p>
      <w:pPr>
        <w:pStyle w:val="TextBody"/>
        <w:bidi w:val="0"/>
        <w:spacing w:before="0" w:after="0"/>
        <w:ind w:left="720" w:right="0" w:hanging="0"/>
        <w:jc w:val="both"/>
        <w:rPr/>
      </w:pPr>
      <w:r>
        <w:rPr/>
        <w:t xml:space="preserve">  </w:t>
      </w:r>
    </w:p>
    <w:p>
      <w:pPr>
        <w:pStyle w:val="TextBody"/>
        <w:bidi w:val="0"/>
        <w:spacing w:before="0" w:after="0"/>
        <w:ind w:left="0" w:right="0" w:firstLine="720"/>
        <w:jc w:val="both"/>
        <w:rPr/>
      </w:pPr>
      <w:r>
        <w:rPr>
          <w:color w:val="000000"/>
          <w:sz w:val="20"/>
        </w:rPr>
        <w:t>(1) To file, during any period in which offers or sales are being made, a post-effective amendment to this Registration Statement:</w:t>
      </w:r>
      <w:r>
        <w:rPr/>
        <w:t xml:space="preserve"> </w:t>
      </w:r>
    </w:p>
    <w:p>
      <w:pPr>
        <w:pStyle w:val="TextBody"/>
        <w:bidi w:val="0"/>
        <w:spacing w:before="0" w:after="0"/>
        <w:jc w:val="both"/>
        <w:rPr/>
      </w:pPr>
      <w:r>
        <w:rPr/>
        <w:t xml:space="preserve">  </w:t>
      </w:r>
    </w:p>
    <w:p>
      <w:pPr>
        <w:pStyle w:val="TextBody"/>
        <w:bidi w:val="0"/>
        <w:spacing w:before="0" w:after="0"/>
        <w:ind w:left="0" w:right="0" w:firstLine="1440"/>
        <w:jc w:val="both"/>
        <w:rPr/>
      </w:pPr>
      <w:r>
        <w:rPr>
          <w:color w:val="000000"/>
          <w:sz w:val="20"/>
        </w:rPr>
        <w:t>(i) To include any prospectus required by section 10(a)(3) of the Securities Act;</w:t>
      </w:r>
      <w:r>
        <w:rPr/>
        <w:t xml:space="preserve"> </w:t>
      </w:r>
    </w:p>
    <w:p>
      <w:pPr>
        <w:pStyle w:val="TextBody"/>
        <w:bidi w:val="0"/>
        <w:spacing w:before="0" w:after="0"/>
        <w:jc w:val="both"/>
        <w:rPr/>
      </w:pPr>
      <w:r>
        <w:rPr/>
        <w:t xml:space="preserve">  </w:t>
      </w:r>
    </w:p>
    <w:p>
      <w:pPr>
        <w:pStyle w:val="TextBody"/>
        <w:bidi w:val="0"/>
        <w:spacing w:before="0" w:after="0"/>
        <w:ind w:left="0" w:right="0" w:firstLine="1440"/>
        <w:jc w:val="both"/>
        <w:rPr/>
      </w:pPr>
      <w:r>
        <w:rPr>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r>
        <w:rPr/>
        <w:t xml:space="preserve"> </w:t>
      </w:r>
    </w:p>
    <w:p>
      <w:pPr>
        <w:pStyle w:val="TextBody"/>
        <w:bidi w:val="0"/>
        <w:spacing w:before="0" w:after="0"/>
        <w:jc w:val="both"/>
        <w:rPr/>
      </w:pPr>
      <w:r>
        <w:rPr/>
        <w:t xml:space="preserve">  </w:t>
      </w:r>
    </w:p>
    <w:p>
      <w:pPr>
        <w:pStyle w:val="TextBody"/>
        <w:bidi w:val="0"/>
        <w:spacing w:before="0" w:after="0"/>
        <w:ind w:left="0" w:right="0" w:firstLine="1440"/>
        <w:jc w:val="both"/>
        <w:rPr/>
      </w:pPr>
      <w:r>
        <w:rPr>
          <w:color w:val="000000"/>
          <w:sz w:val="20"/>
        </w:rPr>
        <w:t>(iii) To include any material information with respect to the plan of distribution not previously disclosed in the Registration Statement or any material change to such information in the Registration Statement;</w:t>
      </w:r>
      <w:r>
        <w:rPr/>
        <w:t xml:space="preserve"> </w:t>
      </w:r>
    </w:p>
    <w:p>
      <w:pPr>
        <w:pStyle w:val="TextBody"/>
        <w:bidi w:val="0"/>
        <w:spacing w:before="0" w:after="0"/>
        <w:jc w:val="both"/>
        <w:rPr/>
      </w:pPr>
      <w:r>
        <w:rPr/>
        <w:t xml:space="preserve">  </w:t>
      </w:r>
    </w:p>
    <w:p>
      <w:pPr>
        <w:pStyle w:val="TextBody"/>
        <w:bidi w:val="0"/>
        <w:spacing w:before="0" w:after="0"/>
        <w:jc w:val="both"/>
        <w:rPr/>
      </w:pPr>
      <w:r>
        <w:rPr>
          <w:i/>
          <w:color w:val="000000"/>
          <w:sz w:val="20"/>
        </w:rPr>
        <w:t>Provided, however,</w:t>
      </w:r>
      <w:r>
        <w:rPr>
          <w:color w:val="000000"/>
        </w:rPr>
        <w:t xml:space="preserve"> </w:t>
      </w:r>
      <w:r>
        <w:rPr>
          <w:color w:val="000000"/>
          <w:sz w:val="20"/>
        </w:rPr>
        <w:t>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color w:val="000000"/>
          <w:sz w:val="20"/>
        </w:rPr>
        <w:t xml:space="preserve">(2)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i/>
          <w:color w:val="000000"/>
          <w:sz w:val="20"/>
        </w:rPr>
        <w:t>bona fide</w:t>
      </w:r>
      <w:r>
        <w:rPr>
          <w:color w:val="000000"/>
        </w:rPr>
        <w:t xml:space="preserve"> </w:t>
      </w:r>
      <w:r>
        <w:rPr>
          <w:color w:val="000000"/>
          <w:sz w:val="20"/>
        </w:rPr>
        <w:t>offering thereof.</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color w:val="000000"/>
          <w:sz w:val="20"/>
        </w:rPr>
        <w:t>(3) To remove from registration by means of a post-effective amendment any of the securities being registered which remain unsold at the termination of the offering.</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color w:val="000000"/>
          <w:sz w:val="20"/>
        </w:rPr>
        <w:t>bona fide</w:t>
      </w:r>
      <w:r>
        <w:rPr>
          <w:color w:val="000000"/>
        </w:rPr>
        <w:t xml:space="preserve"> </w:t>
      </w:r>
      <w:r>
        <w:rPr>
          <w:color w:val="000000"/>
          <w:sz w:val="20"/>
        </w:rPr>
        <w:t>offering thereof.</w:t>
      </w:r>
      <w:r>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t xml:space="preserve"> </w:t>
      </w:r>
    </w:p>
    <w:p>
      <w:pPr>
        <w:pStyle w:val="TextBody"/>
        <w:bidi w:val="0"/>
        <w:spacing w:before="0" w:after="0"/>
        <w:jc w:val="both"/>
        <w:rPr/>
      </w:pPr>
      <w:r>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color w:val="000000"/>
          <w:sz w:val="20"/>
        </w:rPr>
        <w:t>SIGNATURES</w:t>
      </w:r>
      <w:r>
        <w:rPr/>
        <w:t xml:space="preserve"> </w:t>
      </w:r>
    </w:p>
    <w:p>
      <w:pPr>
        <w:pStyle w:val="TextBody"/>
        <w:bidi w:val="0"/>
        <w:spacing w:before="0" w:after="0"/>
        <w:jc w:val="center"/>
        <w:rPr/>
      </w:pPr>
      <w:r>
        <w:rPr/>
        <w:t xml:space="preserve">  </w:t>
      </w:r>
    </w:p>
    <w:p>
      <w:pPr>
        <w:pStyle w:val="TextBody"/>
        <w:bidi w:val="0"/>
        <w:spacing w:before="0" w:after="0"/>
        <w:ind w:left="0" w:right="0" w:firstLine="900"/>
        <w:jc w:val="both"/>
        <w:rPr/>
      </w:pPr>
      <w:r>
        <w:rPr>
          <w:color w:val="000000"/>
          <w:sz w:val="20"/>
        </w:rPr>
        <w:t>Pursuant to the requirements of the Securities Act of 1933, as amended, the Registrant certifies that it has reasonable grounds to believe that it meets all of the requirements for filing on Form S</w:t>
        <w:noBreakHyphen/>
        <w:t>8 and has duly caused this Registration Statement to be signed on its behalf by the undersigned, thereunto duly authorized, in the City of Carlsbad, State of California, on July 31, 2026.</w:t>
      </w:r>
      <w:r>
        <w:rPr/>
        <w:t xml:space="preserve"> </w:t>
      </w:r>
    </w:p>
    <w:p>
      <w:pPr>
        <w:pStyle w:val="TextBody"/>
        <w:bidi w:val="0"/>
        <w:spacing w:before="0" w:after="0"/>
        <w:jc w:val="both"/>
        <w:rPr/>
      </w:pPr>
      <w:r>
        <w:rPr/>
        <w:t xml:space="preserve">  </w:t>
      </w:r>
    </w:p>
    <w:tbl>
      <w:tblPr>
        <w:tblW w:w="3116" w:type="dxa"/>
        <w:jc w:val="left"/>
        <w:tblInd w:w="0" w:type="dxa"/>
        <w:tblLayout w:type="fixed"/>
        <w:tblCellMar>
          <w:top w:w="28" w:type="dxa"/>
          <w:left w:w="28" w:type="dxa"/>
          <w:bottom w:w="28" w:type="dxa"/>
          <w:right w:w="28" w:type="dxa"/>
        </w:tblCellMar>
      </w:tblPr>
      <w:tblGrid>
        <w:gridCol w:w="221"/>
        <w:gridCol w:w="707"/>
        <w:gridCol w:w="2188"/>
      </w:tblGrid>
      <w:tr>
        <w:trPr/>
        <w:tc>
          <w:tcPr>
            <w:tcW w:w="221"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2188" w:type="dxa"/>
            <w:tcBorders/>
            <w:vAlign w:val="center"/>
          </w:tcPr>
          <w:p>
            <w:pPr>
              <w:pStyle w:val="TableContents"/>
              <w:bidi w:val="0"/>
              <w:spacing w:before="0" w:after="283"/>
              <w:jc w:val="left"/>
              <w:rPr/>
            </w:pPr>
            <w:r>
              <w:rPr/>
              <w:t>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95" w:type="dxa"/>
            <w:gridSpan w:val="2"/>
            <w:tcBorders/>
            <w:tcMar>
              <w:top w:w="0" w:type="dxa"/>
              <w:left w:w="0" w:type="dxa"/>
              <w:bottom w:w="0" w:type="dxa"/>
              <w:right w:w="0" w:type="dxa"/>
            </w:tcMar>
            <w:vAlign w:val="center"/>
          </w:tcPr>
          <w:p>
            <w:pPr>
              <w:pStyle w:val="TableContents"/>
              <w:bidi w:val="0"/>
              <w:spacing w:before="0" w:after="0"/>
              <w:jc w:val="both"/>
              <w:rPr/>
            </w:pPr>
            <w:r>
              <w:rPr>
                <w:b/>
                <w:smallCaps/>
                <w:color w:val="000000"/>
                <w:sz w:val="20"/>
              </w:rPr>
              <w:t>Ionis Pharmaceuticals, Inc.</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07"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188"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07" w:type="dxa"/>
            <w:tcBorders/>
            <w:tcMar>
              <w:top w:w="0" w:type="dxa"/>
              <w:left w:w="0" w:type="dxa"/>
              <w:bottom w:w="0" w:type="dxa"/>
              <w:right w:w="0" w:type="dxa"/>
            </w:tcMar>
            <w:vAlign w:val="center"/>
          </w:tcPr>
          <w:p>
            <w:pPr>
              <w:pStyle w:val="TableContents"/>
              <w:bidi w:val="0"/>
              <w:spacing w:before="0" w:after="0"/>
              <w:jc w:val="both"/>
              <w:rPr/>
            </w:pPr>
            <w:r>
              <w:rPr>
                <w:color w:val="000000"/>
                <w:sz w:val="20"/>
              </w:rPr>
              <w:t>By:</w:t>
            </w:r>
            <w:r>
              <w:rPr/>
              <w:t xml:space="preserve"> </w:t>
            </w:r>
          </w:p>
        </w:tc>
        <w:tc>
          <w:tcPr>
            <w:tcW w:w="2188" w:type="dxa"/>
            <w:tcBorders>
              <w:bottom w:val="single" w:sz="12" w:space="0" w:color="000000"/>
            </w:tcBorders>
            <w:tcMar>
              <w:top w:w="0" w:type="dxa"/>
              <w:left w:w="0" w:type="dxa"/>
              <w:right w:w="0" w:type="dxa"/>
            </w:tcMar>
            <w:vAlign w:val="center"/>
          </w:tcPr>
          <w:p>
            <w:pPr>
              <w:pStyle w:val="TableContents"/>
              <w:bidi w:val="0"/>
              <w:spacing w:before="0" w:after="0"/>
              <w:jc w:val="both"/>
              <w:rPr/>
            </w:pPr>
            <w:r>
              <w:rPr>
                <w:color w:val="000000"/>
                <w:sz w:val="20"/>
              </w:rPr>
              <w:t>/s/ Brett Monia</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95" w:type="dxa"/>
            <w:gridSpan w:val="2"/>
            <w:tcBorders/>
            <w:tcMar>
              <w:top w:w="0" w:type="dxa"/>
              <w:left w:w="0" w:type="dxa"/>
              <w:bottom w:w="0" w:type="dxa"/>
              <w:right w:w="0" w:type="dxa"/>
            </w:tcMar>
            <w:vAlign w:val="center"/>
          </w:tcPr>
          <w:p>
            <w:pPr>
              <w:pStyle w:val="TableContents"/>
              <w:bidi w:val="0"/>
              <w:spacing w:before="0" w:after="0"/>
              <w:jc w:val="both"/>
              <w:rPr/>
            </w:pPr>
            <w:r>
              <w:rPr>
                <w:color w:val="000000"/>
                <w:sz w:val="20"/>
              </w:rPr>
              <w:t>Brett Monia</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895" w:type="dxa"/>
            <w:gridSpan w:val="2"/>
            <w:tcBorders/>
            <w:tcMar>
              <w:top w:w="0" w:type="dxa"/>
              <w:left w:w="0" w:type="dxa"/>
              <w:bottom w:w="0" w:type="dxa"/>
              <w:right w:w="0" w:type="dxa"/>
            </w:tcMar>
            <w:vAlign w:val="center"/>
          </w:tcPr>
          <w:p>
            <w:pPr>
              <w:pStyle w:val="TableContents"/>
              <w:bidi w:val="0"/>
              <w:spacing w:before="0" w:after="0"/>
              <w:jc w:val="both"/>
              <w:rPr/>
            </w:pPr>
            <w:r>
              <w:rPr>
                <w:color w:val="000000"/>
                <w:sz w:val="20"/>
              </w:rPr>
              <w:t>Chief Executive Officer</w:t>
            </w:r>
            <w:r>
              <w:rPr/>
              <w:t xml:space="preserve"> </w:t>
            </w:r>
          </w:p>
        </w:tc>
      </w:tr>
    </w:tbl>
    <w:p>
      <w:pPr>
        <w:pStyle w:val="TextBody"/>
        <w:bidi w:val="0"/>
        <w:spacing w:before="0" w:after="0"/>
        <w:jc w:val="left"/>
        <w:rPr/>
      </w:pPr>
      <w:r>
        <w:rPr/>
        <w:t xml:space="preserve">  </w:t>
      </w:r>
    </w:p>
    <w:p>
      <w:pPr>
        <w:pStyle w:val="TextBody"/>
        <w:bidi w:val="0"/>
        <w:spacing w:before="0" w:after="0"/>
        <w:jc w:val="center"/>
        <w:rPr/>
      </w:pPr>
      <w:bookmarkStart w:id="2" w:name="POWER_OF_ATTORNEY"/>
      <w:bookmarkEnd w:id="2"/>
      <w:r>
        <w:rPr>
          <w:b/>
          <w:color w:val="000000"/>
          <w:sz w:val="20"/>
        </w:rPr>
        <w:t>POWER OF ATTORNEY</w:t>
      </w:r>
      <w:r>
        <w:rPr/>
        <w:t xml:space="preserve"> </w:t>
      </w:r>
    </w:p>
    <w:p>
      <w:pPr>
        <w:pStyle w:val="TextBody"/>
        <w:bidi w:val="0"/>
        <w:spacing w:before="0" w:after="0"/>
        <w:jc w:val="center"/>
        <w:rPr/>
      </w:pPr>
      <w:r>
        <w:rPr/>
        <w:t xml:space="preserve">  </w:t>
      </w:r>
    </w:p>
    <w:p>
      <w:pPr>
        <w:pStyle w:val="TextBody"/>
        <w:bidi w:val="0"/>
        <w:spacing w:before="0" w:after="0"/>
        <w:ind w:left="0" w:right="0" w:firstLine="900"/>
        <w:jc w:val="both"/>
        <w:rPr/>
      </w:pPr>
      <w:r>
        <w:rPr>
          <w:b/>
          <w:smallCaps/>
          <w:color w:val="000000"/>
          <w:sz w:val="20"/>
        </w:rPr>
        <w:t>Know All Persons By These Presents</w:t>
      </w:r>
      <w:r>
        <w:rPr>
          <w:smallCaps/>
          <w:color w:val="000000"/>
          <w:sz w:val="20"/>
        </w:rPr>
        <w:t>,</w:t>
      </w:r>
      <w:r>
        <w:rPr>
          <w:color w:val="000000"/>
        </w:rPr>
        <w:t xml:space="preserve"> </w:t>
      </w:r>
      <w:r>
        <w:rPr>
          <w:color w:val="000000"/>
          <w:sz w:val="20"/>
        </w:rPr>
        <w:t>that each person whose signature appears below constitutes Brett Monia and Elizabeth Hougen, and each or any one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r>
        <w:rPr/>
        <w:t xml:space="preserve"> </w:t>
      </w:r>
    </w:p>
    <w:p>
      <w:pPr>
        <w:pStyle w:val="TextBody"/>
        <w:bidi w:val="0"/>
        <w:spacing w:before="0" w:after="0"/>
        <w:jc w:val="both"/>
        <w:rPr/>
      </w:pPr>
      <w:r>
        <w:rPr/>
        <w:t xml:space="preserve">  </w:t>
      </w:r>
    </w:p>
    <w:p>
      <w:pPr>
        <w:pStyle w:val="TextBody"/>
        <w:bidi w:val="0"/>
        <w:spacing w:before="0" w:after="0"/>
        <w:ind w:left="0" w:right="0" w:firstLine="900"/>
        <w:jc w:val="both"/>
        <w:rPr/>
      </w:pPr>
      <w:r>
        <w:rPr>
          <w:color w:val="000000"/>
          <w:sz w:val="20"/>
        </w:rPr>
        <w:t>Pursuant to the requirements of the Securities Act of 1933, as amended, this Registration Statement has been signed by the following persons in the capacities and on the dates indicated.</w:t>
      </w:r>
      <w:r>
        <w:rPr/>
        <w:t xml:space="preserve"> </w:t>
      </w:r>
    </w:p>
    <w:p>
      <w:pPr>
        <w:pStyle w:val="TextBody"/>
        <w:bidi w:val="0"/>
        <w:spacing w:before="0" w:after="0"/>
        <w:jc w:val="both"/>
        <w:rPr/>
      </w:pPr>
      <w:r>
        <w:rPr/>
        <w:t xml:space="preserve">  </w:t>
      </w:r>
    </w:p>
    <w:tbl>
      <w:tblPr>
        <w:tblW w:w="10098" w:type="dxa"/>
        <w:jc w:val="left"/>
        <w:tblInd w:w="0" w:type="dxa"/>
        <w:tblLayout w:type="fixed"/>
        <w:tblCellMar>
          <w:top w:w="28" w:type="dxa"/>
          <w:left w:w="28" w:type="dxa"/>
          <w:bottom w:w="28" w:type="dxa"/>
          <w:right w:w="28" w:type="dxa"/>
        </w:tblCellMar>
      </w:tblPr>
      <w:tblGrid>
        <w:gridCol w:w="2566"/>
        <w:gridCol w:w="6031"/>
        <w:gridCol w:w="1501"/>
      </w:tblGrid>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center"/>
              <w:rPr/>
            </w:pPr>
            <w:r>
              <w:rPr>
                <w:b/>
              </w:rPr>
              <w:t>Signature</w:t>
            </w:r>
            <w:r>
              <w:rPr/>
              <w:t xml:space="preserve"> </w:t>
            </w:r>
          </w:p>
        </w:tc>
        <w:tc>
          <w:tcPr>
            <w:tcW w:w="6031" w:type="dxa"/>
            <w:tcBorders/>
            <w:vAlign w:val="center"/>
          </w:tcPr>
          <w:p>
            <w:pPr>
              <w:pStyle w:val="TableContents"/>
              <w:bidi w:val="0"/>
              <w:spacing w:before="0" w:after="0"/>
              <w:jc w:val="center"/>
              <w:rPr/>
            </w:pPr>
            <w:r>
              <w:rPr>
                <w:b/>
              </w:rPr>
              <w:t>Title</w:t>
            </w:r>
            <w:r>
              <w:rPr/>
              <w:t xml:space="preserve"> </w:t>
            </w:r>
          </w:p>
        </w:tc>
        <w:tc>
          <w:tcPr>
            <w:tcW w:w="1501" w:type="dxa"/>
            <w:tcBorders/>
            <w:vAlign w:val="center"/>
          </w:tcPr>
          <w:p>
            <w:pPr>
              <w:pStyle w:val="TableContents"/>
              <w:bidi w:val="0"/>
              <w:spacing w:before="0" w:after="283"/>
              <w:jc w:val="center"/>
              <w:rPr/>
            </w:pPr>
            <w:r>
              <w:rPr>
                <w:b/>
              </w:rPr>
              <w:t>Date</w:t>
            </w:r>
            <w:r>
              <w:rPr/>
              <w:t xml:space="preserve">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Brett Monia </w:t>
            </w:r>
          </w:p>
        </w:tc>
        <w:tc>
          <w:tcPr>
            <w:tcW w:w="6031" w:type="dxa"/>
            <w:vMerge w:val="restart"/>
            <w:tcBorders/>
            <w:vAlign w:val="center"/>
          </w:tcPr>
          <w:p>
            <w:pPr>
              <w:pStyle w:val="TableContents"/>
              <w:bidi w:val="0"/>
              <w:spacing w:before="0" w:after="0"/>
              <w:jc w:val="center"/>
              <w:rPr/>
            </w:pPr>
            <w:r>
              <w:rPr/>
              <w:t xml:space="preserve">Chief Executive Officer </w:t>
            </w:r>
          </w:p>
          <w:p>
            <w:pPr>
              <w:pStyle w:val="TableContents"/>
              <w:bidi w:val="0"/>
              <w:spacing w:before="0" w:after="0"/>
              <w:jc w:val="center"/>
              <w:rPr/>
            </w:pPr>
            <w:r>
              <w:rPr/>
              <w:t xml:space="preserve">(Principal Executive Officer) </w:t>
            </w:r>
          </w:p>
        </w:tc>
        <w:tc>
          <w:tcPr>
            <w:tcW w:w="1501" w:type="dxa"/>
            <w:vMerge w:val="restart"/>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Brett Monia </w:t>
            </w:r>
          </w:p>
        </w:tc>
        <w:tc>
          <w:tcPr>
            <w:tcW w:w="6031" w:type="dxa"/>
            <w:vMerge w:val="continue"/>
            <w:tcBorders/>
            <w:vAlign w:val="center"/>
          </w:tcPr>
          <w:p>
            <w:pPr>
              <w:pStyle w:val="Normal"/>
              <w:bidi w:val="0"/>
              <w:jc w:val="left"/>
              <w:rPr/>
            </w:pPr>
            <w:r>
              <w:rPr/>
            </w:r>
          </w:p>
        </w:tc>
        <w:tc>
          <w:tcPr>
            <w:tcW w:w="1501"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Elizabeth Hougen </w:t>
            </w:r>
          </w:p>
        </w:tc>
        <w:tc>
          <w:tcPr>
            <w:tcW w:w="6031" w:type="dxa"/>
            <w:vMerge w:val="restart"/>
            <w:tcBorders/>
            <w:vAlign w:val="center"/>
          </w:tcPr>
          <w:p>
            <w:pPr>
              <w:pStyle w:val="TableContents"/>
              <w:bidi w:val="0"/>
              <w:spacing w:before="0" w:after="0"/>
              <w:jc w:val="center"/>
              <w:rPr/>
            </w:pPr>
            <w:r>
              <w:rPr/>
              <w:t xml:space="preserve">Chief Financial Officer </w:t>
            </w:r>
          </w:p>
          <w:p>
            <w:pPr>
              <w:pStyle w:val="TableContents"/>
              <w:bidi w:val="0"/>
              <w:spacing w:before="0" w:after="0"/>
              <w:jc w:val="center"/>
              <w:rPr/>
            </w:pPr>
            <w:r>
              <w:rPr/>
              <w:t xml:space="preserve">(Principal Financial Officer and Principal Accounting Officer) </w:t>
            </w:r>
          </w:p>
        </w:tc>
        <w:tc>
          <w:tcPr>
            <w:tcW w:w="1501" w:type="dxa"/>
            <w:vMerge w:val="restart"/>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Elizabeth Hougen </w:t>
            </w:r>
          </w:p>
        </w:tc>
        <w:tc>
          <w:tcPr>
            <w:tcW w:w="6031" w:type="dxa"/>
            <w:vMerge w:val="continue"/>
            <w:tcBorders/>
            <w:vAlign w:val="center"/>
          </w:tcPr>
          <w:p>
            <w:pPr>
              <w:pStyle w:val="Normal"/>
              <w:bidi w:val="0"/>
              <w:jc w:val="left"/>
              <w:rPr/>
            </w:pPr>
            <w:r>
              <w:rPr/>
            </w:r>
          </w:p>
        </w:tc>
        <w:tc>
          <w:tcPr>
            <w:tcW w:w="1501" w:type="dxa"/>
            <w:vMerge w:val="continue"/>
            <w:tcBorders/>
            <w:vAlign w:val="center"/>
          </w:tcPr>
          <w:p>
            <w:pPr>
              <w:pStyle w:val="Normal"/>
              <w:bidi w:val="0"/>
              <w:jc w:val="left"/>
              <w:rPr/>
            </w:pPr>
            <w:r>
              <w:rPr/>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Joseph Loscalzo </w:t>
            </w:r>
          </w:p>
        </w:tc>
        <w:tc>
          <w:tcPr>
            <w:tcW w:w="6031" w:type="dxa"/>
            <w:tcBorders/>
            <w:vAlign w:val="center"/>
          </w:tcPr>
          <w:p>
            <w:pPr>
              <w:pStyle w:val="TableContents"/>
              <w:bidi w:val="0"/>
              <w:spacing w:before="0" w:after="0"/>
              <w:jc w:val="center"/>
              <w:rPr/>
            </w:pPr>
            <w:r>
              <w:rPr/>
              <w:t xml:space="preserve">Chairman of the Board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Joseph Loscalzo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Spencer R. Berthelsen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Spencer R. Berthelsen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Allene Diaz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Allene Diaz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Ludwig N. Hantson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Ludwig N. Hantson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Michael Hayden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0"/>
              <w:jc w:val="left"/>
              <w:rPr/>
            </w:pPr>
            <w:r>
              <w:rPr/>
              <w:t xml:space="preserve">Michael Hayden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Joan Herman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283"/>
              <w:jc w:val="left"/>
              <w:rPr/>
            </w:pPr>
            <w:r>
              <w:rPr/>
              <w:t xml:space="preserve">Joan Herman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Joseph Klein, III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283"/>
              <w:jc w:val="left"/>
              <w:rPr/>
            </w:pPr>
            <w:r>
              <w:rPr/>
              <w:t xml:space="preserve">Joseph Klein, III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Peter N. Reikes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283"/>
              <w:jc w:val="left"/>
              <w:rPr/>
            </w:pPr>
            <w:r>
              <w:rPr/>
              <w:t xml:space="preserve">Peter N. Reikes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vAlign w:val="center"/>
          </w:tcPr>
          <w:p>
            <w:pPr>
              <w:pStyle w:val="TableContents"/>
              <w:bidi w:val="0"/>
              <w:spacing w:before="0" w:after="283"/>
              <w:jc w:val="left"/>
              <w:rPr/>
            </w:pPr>
            <w:r>
              <w:rPr/>
              <w:t>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56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/s/ Michael Yang </w:t>
            </w:r>
          </w:p>
        </w:tc>
        <w:tc>
          <w:tcPr>
            <w:tcW w:w="6031" w:type="dxa"/>
            <w:tcBorders/>
            <w:vAlign w:val="center"/>
          </w:tcPr>
          <w:p>
            <w:pPr>
              <w:pStyle w:val="TableContents"/>
              <w:bidi w:val="0"/>
              <w:spacing w:before="0" w:after="0"/>
              <w:jc w:val="center"/>
              <w:rPr/>
            </w:pPr>
            <w:r>
              <w:rPr/>
              <w:t xml:space="preserve">Director </w:t>
            </w:r>
          </w:p>
        </w:tc>
        <w:tc>
          <w:tcPr>
            <w:tcW w:w="1501" w:type="dxa"/>
            <w:tcBorders/>
            <w:vAlign w:val="center"/>
          </w:tcPr>
          <w:p>
            <w:pPr>
              <w:pStyle w:val="TableContents"/>
              <w:bidi w:val="0"/>
              <w:spacing w:before="0" w:after="283"/>
              <w:jc w:val="center"/>
              <w:rPr/>
            </w:pPr>
            <w:r>
              <w:rPr/>
              <w:t xml:space="preserve">July 31, 2026 </w:t>
            </w:r>
          </w:p>
        </w:tc>
      </w:tr>
      <w:tr>
        <w:trPr/>
        <w:tc>
          <w:tcPr>
            <w:tcW w:w="2566" w:type="dxa"/>
            <w:tcBorders/>
            <w:vAlign w:val="center"/>
          </w:tcPr>
          <w:p>
            <w:pPr>
              <w:pStyle w:val="TableContents"/>
              <w:bidi w:val="0"/>
              <w:spacing w:before="0" w:after="283"/>
              <w:jc w:val="left"/>
              <w:rPr/>
            </w:pPr>
            <w:r>
              <w:rPr/>
              <w:t xml:space="preserve">Michael Yang </w:t>
            </w:r>
          </w:p>
        </w:tc>
        <w:tc>
          <w:tcPr>
            <w:tcW w:w="6031"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xml:space="preserve">  </w:t>
      </w:r>
    </w:p>
    <w:p>
      <w:pPr>
        <w:pStyle w:val="TextBody"/>
        <w:bidi w:val="0"/>
        <w:spacing w:before="0" w:after="0"/>
        <w:jc w:val="center"/>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 w:name="ef20079139_ex5-1.htm"/>
      <w:bookmarkStart w:id="4" w:name="ksef20079139_ex51"/>
      <w:bookmarkStart w:id="5" w:name="ef20079139_ex5-1.htm"/>
      <w:bookmarkStart w:id="6" w:name="ksef20079139_ex51"/>
      <w:bookmarkEnd w:id="5"/>
      <w:bookmarkEnd w:id="6"/>
      <w:r>
        <w:br w:type="page"/>
      </w:r>
    </w:p>
    <w:p>
      <w:pPr>
        <w:pStyle w:val="TextBody"/>
        <w:bidi w:val="0"/>
        <w:spacing w:before="0" w:after="0"/>
        <w:jc w:val="right"/>
        <w:rPr/>
      </w:pPr>
      <w:r>
        <w:rPr>
          <w:b/>
          <w:sz w:val="20"/>
        </w:rPr>
        <w:t>Exhibit 5.1</w:t>
      </w:r>
      <w:r>
        <w:rPr/>
        <w:t xml:space="preserve"> </w:t>
      </w:r>
    </w:p>
    <w:p>
      <w:pPr>
        <w:pStyle w:val="TextBody"/>
        <w:bidi w:val="0"/>
        <w:spacing w:before="0" w:after="0"/>
        <w:jc w:val="right"/>
        <w:rPr/>
      </w:pPr>
      <w:r>
        <w:rPr/>
        <w:t xml:space="preserve">  </w:t>
      </w:r>
    </w:p>
    <w:p>
      <w:pPr>
        <w:pStyle w:val="TextBody"/>
        <w:bidi w:val="0"/>
        <w:spacing w:before="0" w:after="0"/>
        <w:jc w:val="both"/>
        <w:rPr/>
      </w:pPr>
      <w:r>
        <w:rPr>
          <w:sz w:val="20"/>
        </w:rPr>
        <w:t>July 31, 2026</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Ionis Pharmaceuticals, Inc.</w:t>
      </w:r>
      <w:r>
        <w:rPr/>
        <w:t xml:space="preserve"> </w:t>
      </w:r>
    </w:p>
    <w:p>
      <w:pPr>
        <w:pStyle w:val="TextBody"/>
        <w:bidi w:val="0"/>
        <w:spacing w:before="0" w:after="0"/>
        <w:jc w:val="both"/>
        <w:rPr/>
      </w:pPr>
      <w:r>
        <w:rPr>
          <w:sz w:val="20"/>
        </w:rPr>
        <w:t>2855 Gazelle Court</w:t>
      </w:r>
      <w:r>
        <w:rPr/>
        <w:t xml:space="preserve"> </w:t>
      </w:r>
    </w:p>
    <w:p>
      <w:pPr>
        <w:pStyle w:val="TextBody"/>
        <w:bidi w:val="0"/>
        <w:spacing w:before="0" w:after="0"/>
        <w:jc w:val="both"/>
        <w:rPr/>
      </w:pPr>
      <w:r>
        <w:rPr>
          <w:sz w:val="20"/>
        </w:rPr>
        <w:t>Carlsbad, CA 92010</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Ladies and Gentlemen:</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You have requested my opinion with respect to certain matters in connection with the filing by Ionis Pharmaceuticals, Inc. (the “</w:t>
      </w:r>
      <w:r>
        <w:rPr>
          <w:b/>
          <w:i/>
          <w:sz w:val="20"/>
        </w:rPr>
        <w:t>Company</w:t>
      </w:r>
      <w:r>
        <w:rPr/>
        <w:t>”</w:t>
      </w:r>
      <w:r>
        <w:rPr>
          <w:sz w:val="20"/>
        </w:rPr>
        <w:t>) of a Registration Statement on Form S-8 (the “</w:t>
      </w:r>
      <w:r>
        <w:rPr>
          <w:b/>
          <w:i/>
          <w:sz w:val="20"/>
        </w:rPr>
        <w:t>Registration Statement</w:t>
      </w:r>
      <w:r>
        <w:rPr/>
        <w:t>”</w:t>
      </w:r>
      <w:r>
        <w:rPr>
          <w:sz w:val="20"/>
        </w:rPr>
        <w:t>) with the Securities and Exchange Commission, covering the offering by the Company of an additional 10,250,000 shares of the Company’s Common Stock, $.001 par value per share (the “</w:t>
      </w:r>
      <w:r>
        <w:rPr>
          <w:b/>
          <w:i/>
          <w:sz w:val="20"/>
        </w:rPr>
        <w:t>Shares</w:t>
      </w:r>
      <w:r>
        <w:rPr/>
        <w:t>”</w:t>
      </w:r>
      <w:r>
        <w:rPr>
          <w:sz w:val="20"/>
        </w:rPr>
        <w:t>), consisting of (i) 9,500,000 Shares issuable pursuant to its Amended and Restated 2011 Equity Incentive Plan (the “</w:t>
      </w:r>
      <w:r>
        <w:rPr>
          <w:b/>
          <w:i/>
          <w:sz w:val="20"/>
        </w:rPr>
        <w:t>2011 Plan</w:t>
      </w:r>
      <w:r>
        <w:rPr/>
        <w:t>”</w:t>
      </w:r>
      <w:r>
        <w:rPr>
          <w:sz w:val="20"/>
        </w:rPr>
        <w:t>), and (ii) 750,000 Shares issuable pursuant to its Amended and Restated 2000 Employee Stock Purchase Plan (together with the 2011 Plan, the “</w:t>
      </w:r>
      <w:r>
        <w:rPr>
          <w:b/>
          <w:i/>
          <w:sz w:val="20"/>
        </w:rPr>
        <w:t>Plans</w:t>
      </w:r>
      <w:r>
        <w:rPr/>
        <w:t>”</w:t>
      </w:r>
      <w:r>
        <w:rPr>
          <w:sz w:val="20"/>
        </w:rPr>
        <w:t>) as described in the Registration Statement.</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In connection with this opinion, I have examined and relied upon the Registration Statement, the Company’s Restated Certificate of Incorporation, as amended, and Bylaws and the originals or copies certified to my satisfaction, of such records, documents, certificates, memoranda and other instruments as in my judgment are necessary or appropriate to enable me to render the opinion expressed below.</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On the basis of the foregoing, and in reliance thereon, I am of the opinion that the Shares, when issued and sold in accordance with the Plans and related prospectuses, will be validly issued, fully paid and nonassessable.</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I consent to the reference to myself under the caption “Interests of Named Experts and Counsel” in the Registration Statement and to the filing of this opinion as an exhibit to the Registration Statement.</w:t>
      </w:r>
      <w:r>
        <w:rPr/>
        <w:t xml:space="preserve"> </w:t>
      </w:r>
    </w:p>
    <w:p>
      <w:pPr>
        <w:pStyle w:val="TextBody"/>
        <w:bidi w:val="0"/>
        <w:spacing w:before="0" w:after="0"/>
        <w:jc w:val="center"/>
        <w:rPr/>
      </w:pPr>
      <w:r>
        <w:rPr/>
        <w:t xml:space="preserve">  </w:t>
      </w:r>
    </w:p>
    <w:tbl>
      <w:tblPr>
        <w:tblW w:w="7557" w:type="dxa"/>
        <w:jc w:val="left"/>
        <w:tblInd w:w="0" w:type="dxa"/>
        <w:tblLayout w:type="fixed"/>
        <w:tblCellMar>
          <w:top w:w="28" w:type="dxa"/>
          <w:left w:w="28" w:type="dxa"/>
          <w:bottom w:w="28" w:type="dxa"/>
          <w:right w:w="28" w:type="dxa"/>
        </w:tblCellMar>
      </w:tblPr>
      <w:tblGrid>
        <w:gridCol w:w="7306"/>
        <w:gridCol w:w="251"/>
      </w:tblGrid>
      <w:tr>
        <w:trPr/>
        <w:tc>
          <w:tcPr>
            <w:tcW w:w="73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306" w:type="dxa"/>
            <w:tcBorders/>
            <w:tcMar>
              <w:top w:w="0" w:type="dxa"/>
              <w:left w:w="0" w:type="dxa"/>
              <w:bottom w:w="0" w:type="dxa"/>
              <w:right w:w="0" w:type="dxa"/>
            </w:tcMar>
            <w:vAlign w:val="center"/>
          </w:tcPr>
          <w:p>
            <w:pPr>
              <w:pStyle w:val="TableContents"/>
              <w:bidi w:val="0"/>
              <w:spacing w:before="0" w:after="0"/>
              <w:jc w:val="both"/>
              <w:rPr/>
            </w:pPr>
            <w:r>
              <w:rPr>
                <w:sz w:val="20"/>
              </w:rPr>
              <w:t>Very truly yours,</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7306"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7306" w:type="dxa"/>
            <w:tcBorders>
              <w:bottom w:val="single" w:sz="12" w:space="0" w:color="000000"/>
            </w:tcBorders>
            <w:tcMar>
              <w:top w:w="0" w:type="dxa"/>
              <w:left w:w="0" w:type="dxa"/>
              <w:right w:w="0" w:type="dxa"/>
            </w:tcMar>
            <w:vAlign w:val="center"/>
          </w:tcPr>
          <w:p>
            <w:pPr>
              <w:pStyle w:val="TableContents"/>
              <w:bidi w:val="0"/>
              <w:spacing w:before="0" w:after="0"/>
              <w:jc w:val="both"/>
              <w:rPr/>
            </w:pPr>
            <w:r>
              <w:rPr>
                <w:sz w:val="20"/>
              </w:rPr>
              <w:t>/s/ Patrick R. O’Neil</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7306"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7306" w:type="dxa"/>
            <w:tcBorders/>
            <w:tcMar>
              <w:top w:w="0" w:type="dxa"/>
              <w:left w:w="0" w:type="dxa"/>
              <w:bottom w:w="0" w:type="dxa"/>
              <w:right w:w="0" w:type="dxa"/>
            </w:tcMar>
            <w:vAlign w:val="center"/>
          </w:tcPr>
          <w:p>
            <w:pPr>
              <w:pStyle w:val="TableContents"/>
              <w:bidi w:val="0"/>
              <w:spacing w:before="0" w:after="0"/>
              <w:jc w:val="both"/>
              <w:rPr/>
            </w:pPr>
            <w:r>
              <w:rPr>
                <w:sz w:val="20"/>
              </w:rPr>
              <w:t>Patrick R. O’Neil</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r>
        <w:trPr/>
        <w:tc>
          <w:tcPr>
            <w:tcW w:w="7306" w:type="dxa"/>
            <w:tcBorders/>
            <w:tcMar>
              <w:top w:w="0" w:type="dxa"/>
              <w:left w:w="0" w:type="dxa"/>
              <w:bottom w:w="0" w:type="dxa"/>
              <w:right w:w="0" w:type="dxa"/>
            </w:tcMar>
            <w:vAlign w:val="center"/>
          </w:tcPr>
          <w:p>
            <w:pPr>
              <w:pStyle w:val="TableContents"/>
              <w:bidi w:val="0"/>
              <w:spacing w:before="0" w:after="0"/>
              <w:jc w:val="both"/>
              <w:rPr/>
            </w:pPr>
            <w:r>
              <w:rPr>
                <w:sz w:val="20"/>
              </w:rPr>
              <w:t>Executive Vice President, Chief Legal Officer, General Counsel and Corporate Secretary</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both"/>
              <w:rPr/>
            </w:pPr>
            <w:r>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7" w:name="ef20079139_ex23-1.htm"/>
      <w:bookmarkStart w:id="8" w:name="ksef20079139_ex231"/>
      <w:bookmarkStart w:id="9" w:name="ef20079139_ex23-1.htm"/>
      <w:bookmarkStart w:id="10" w:name="ksef20079139_ex231"/>
      <w:bookmarkEnd w:id="9"/>
      <w:bookmarkEnd w:id="10"/>
      <w:r>
        <w:br w:type="page"/>
      </w:r>
    </w:p>
    <w:p>
      <w:pPr>
        <w:pStyle w:val="TextBody"/>
        <w:bidi w:val="0"/>
        <w:spacing w:lineRule="auto" w:line="336" w:before="0" w:after="0"/>
        <w:jc w:val="right"/>
        <w:rPr/>
      </w:pPr>
      <w:r>
        <w:rPr>
          <w:b/>
          <w:sz w:val="20"/>
        </w:rPr>
        <w:t>Exhibit 23.1</w:t>
      </w:r>
      <w:r>
        <w:rPr/>
        <w:t xml:space="preserve"> </w:t>
      </w:r>
    </w:p>
    <w:p>
      <w:pPr>
        <w:pStyle w:val="TextBody"/>
        <w:bidi w:val="0"/>
        <w:spacing w:before="0" w:after="0"/>
        <w:ind w:left="720" w:right="0" w:hanging="0"/>
        <w:jc w:val="center"/>
        <w:rPr/>
      </w:pPr>
      <w:r>
        <w:rPr/>
        <w:t xml:space="preserve">  </w:t>
      </w:r>
    </w:p>
    <w:p>
      <w:pPr>
        <w:pStyle w:val="TextBody"/>
        <w:bidi w:val="0"/>
        <w:spacing w:before="0" w:after="0"/>
        <w:ind w:left="720" w:right="0" w:hanging="0"/>
        <w:jc w:val="center"/>
        <w:rPr/>
      </w:pPr>
      <w:r>
        <w:rPr>
          <w:b/>
          <w:sz w:val="20"/>
        </w:rPr>
        <w:t>Consent of Independent Registered Public Accounting Firm</w:t>
      </w:r>
      <w:r>
        <w:rPr/>
        <w:t xml:space="preserve"> </w:t>
      </w:r>
    </w:p>
    <w:p>
      <w:pPr>
        <w:pStyle w:val="TextBody"/>
        <w:bidi w:val="0"/>
        <w:spacing w:before="0" w:after="0"/>
        <w:jc w:val="left"/>
        <w:rPr/>
      </w:pPr>
      <w:r>
        <w:rPr/>
        <w:t xml:space="preserve">  </w:t>
      </w:r>
    </w:p>
    <w:p>
      <w:pPr>
        <w:pStyle w:val="TextBody"/>
        <w:bidi w:val="0"/>
        <w:spacing w:before="0" w:after="0"/>
        <w:ind w:left="14" w:right="0" w:hanging="0"/>
        <w:jc w:val="both"/>
        <w:rPr/>
      </w:pPr>
      <w:r>
        <w:rPr>
          <w:sz w:val="20"/>
        </w:rPr>
        <w:t>We consent to the incorporation by reference in the Registration Statement (Form S-8) pertaining to the Amended and Restated Ionis Pharmaceuticals, Inc. 2011 Equity Incentive Plan and the Amended and Restated Ionis Pharmaceuticals, Inc. 2000 Employee Stock Purchase Plan, of our reports dated February 26, 2026, with respect to the consolidated financial statements of Ionis Pharmaceuticals, Inc. and the effectiveness of internal control over financial reporting of Ionis Pharmaceuticals, Inc. included in its Annual Report (Form 10-K) for the year ended December 31, 2025, filed with the Securities and Exchange Commission.</w:t>
      </w:r>
      <w:r>
        <w:rPr/>
        <w:t xml:space="preserve"> </w:t>
      </w:r>
    </w:p>
    <w:p>
      <w:pPr>
        <w:pStyle w:val="TextBody"/>
        <w:bidi w:val="0"/>
        <w:spacing w:before="0" w:after="0"/>
        <w:jc w:val="left"/>
        <w:rPr/>
      </w:pPr>
      <w:r>
        <w:rPr/>
        <w:t xml:space="preserve">  </w:t>
      </w:r>
    </w:p>
    <w:p>
      <w:pPr>
        <w:pStyle w:val="TextBody"/>
        <w:bidi w:val="0"/>
        <w:spacing w:before="0" w:after="0"/>
        <w:ind w:left="53" w:right="0" w:hanging="0"/>
        <w:jc w:val="left"/>
        <w:rPr/>
      </w:pPr>
      <w:r>
        <w:rPr>
          <w:sz w:val="20"/>
        </w:rPr>
        <w:t>/s/ Ernst &amp; Young LLP</w:t>
      </w:r>
      <w:r>
        <w:rPr/>
        <w:t xml:space="preserve"> </w:t>
      </w:r>
    </w:p>
    <w:p>
      <w:pPr>
        <w:pStyle w:val="TextBody"/>
        <w:bidi w:val="0"/>
        <w:spacing w:before="0" w:after="0"/>
        <w:jc w:val="left"/>
        <w:rPr/>
      </w:pPr>
      <w:r>
        <w:rPr/>
        <w:t xml:space="preserve">  </w:t>
      </w:r>
    </w:p>
    <w:p>
      <w:pPr>
        <w:pStyle w:val="TextBody"/>
        <w:bidi w:val="0"/>
        <w:spacing w:before="0" w:after="0"/>
        <w:ind w:left="53" w:right="0" w:hanging="0"/>
        <w:jc w:val="left"/>
        <w:rPr/>
      </w:pPr>
      <w:r>
        <w:rPr>
          <w:sz w:val="20"/>
        </w:rPr>
        <w:t>San Diego, California</w:t>
      </w:r>
      <w:r>
        <w:rPr/>
        <w:t xml:space="preserve"> </w:t>
      </w:r>
    </w:p>
    <w:p>
      <w:pPr>
        <w:pStyle w:val="TextBody"/>
        <w:bidi w:val="0"/>
        <w:spacing w:before="0" w:after="0"/>
        <w:ind w:left="53" w:right="0" w:hanging="0"/>
        <w:jc w:val="left"/>
        <w:rPr/>
      </w:pPr>
      <w:r>
        <w:rPr>
          <w:sz w:val="20"/>
        </w:rPr>
        <w:t>July 31,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11" w:name="ef20079139_ex107.htm"/>
      <w:bookmarkStart w:id="12" w:name="ksef20079139_ex107"/>
      <w:bookmarkStart w:id="13" w:name="ef20079139_ex107.htm"/>
      <w:bookmarkStart w:id="14" w:name="ksef20079139_ex107"/>
      <w:bookmarkEnd w:id="13"/>
      <w:bookmarkEnd w:id="14"/>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Ionis Pharmaceuticals,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 Registered Securities</w:t>
      </w:r>
      <w:r>
        <w:rPr>
          <w:rFonts w:ascii="Times New Roman" w:hAnsi="Times New Roman"/>
          <w:sz w:val="24"/>
        </w:rPr>
        <w:t xml:space="preserve"> </w:t>
      </w:r>
    </w:p>
    <w:tbl>
      <w:tblPr>
        <w:tblW w:w="10208" w:type="dxa"/>
        <w:jc w:val="left"/>
        <w:tblInd w:w="0" w:type="dxa"/>
        <w:tblLayout w:type="fixed"/>
        <w:tblCellMar>
          <w:top w:w="28" w:type="dxa"/>
          <w:left w:w="28" w:type="dxa"/>
          <w:bottom w:w="28" w:type="dxa"/>
          <w:right w:w="28" w:type="dxa"/>
        </w:tblCellMar>
      </w:tblPr>
      <w:tblGrid>
        <w:gridCol w:w="961"/>
        <w:gridCol w:w="1066"/>
        <w:gridCol w:w="1276"/>
        <w:gridCol w:w="1261"/>
        <w:gridCol w:w="1156"/>
        <w:gridCol w:w="1726"/>
        <w:gridCol w:w="1366"/>
        <w:gridCol w:w="1396"/>
      </w:tblGrid>
      <w:tr>
        <w:trPr/>
        <w:tc>
          <w:tcPr>
            <w:tcW w:w="961"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06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Amount Registered(1)</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 xml:space="preserve">Proposed Maximum Offering </w:t>
              <w:br/>
              <w:t>Price Per Share(2)</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3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0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$.001 per share issuable under the Amended and Restated 2011 Equity Incentive Plan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Other(2)</w:t>
            </w:r>
          </w:p>
        </w:tc>
        <w:tc>
          <w:tcPr>
            <w:tcW w:w="12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9,500,000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$53.35 </w:t>
            </w:r>
          </w:p>
        </w:tc>
        <w:tc>
          <w:tcPr>
            <w:tcW w:w="17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$506,825,000.00 </w:t>
            </w:r>
          </w:p>
        </w:tc>
        <w:tc>
          <w:tcPr>
            <w:tcW w:w="13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$0.00013810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$69,992.53 </w:t>
            </w:r>
          </w:p>
        </w:tc>
      </w:tr>
      <w:tr>
        <w:trPr/>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10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Common Stock, par value $.001 per share issuable under the Amended and Restated 2000 Employee Stock Purchase Plan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Other(2)</w:t>
            </w:r>
          </w:p>
        </w:tc>
        <w:tc>
          <w:tcPr>
            <w:tcW w:w="12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750,000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$53.35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$40,012,500.00 </w:t>
            </w:r>
          </w:p>
        </w:tc>
        <w:tc>
          <w:tcPr>
            <w:tcW w:w="13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r>
              <w:rPr>
                <w:sz w:val="20"/>
              </w:rPr>
              <w:t>$0.00013810</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$5,525.73 </w:t>
            </w:r>
          </w:p>
        </w:tc>
      </w:tr>
      <w:tr>
        <w:trPr/>
        <w:tc>
          <w:tcPr>
            <w:tcW w:w="4564"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$546,837,500.00</w:t>
            </w:r>
          </w:p>
        </w:tc>
        <w:tc>
          <w:tcPr>
            <w:tcW w:w="13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$75,518.26 </w:t>
            </w:r>
          </w:p>
        </w:tc>
      </w:tr>
      <w:tr>
        <w:trPr/>
        <w:tc>
          <w:tcPr>
            <w:tcW w:w="4564"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$0 </w:t>
            </w:r>
          </w:p>
        </w:tc>
      </w:tr>
      <w:tr>
        <w:trPr/>
        <w:tc>
          <w:tcPr>
            <w:tcW w:w="4564"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$75,518.26 </w:t>
            </w:r>
          </w:p>
        </w:tc>
      </w:tr>
    </w:tbl>
    <w:tbl>
      <w:tblPr>
        <w:tblW w:w="10205" w:type="dxa"/>
        <w:jc w:val="left"/>
        <w:tblInd w:w="0" w:type="dxa"/>
        <w:tblLayout w:type="fixed"/>
        <w:tblCellMar>
          <w:top w:w="28" w:type="dxa"/>
          <w:left w:w="28" w:type="dxa"/>
          <w:bottom w:w="28" w:type="dxa"/>
          <w:right w:w="28" w:type="dxa"/>
        </w:tblCellMar>
      </w:tblPr>
      <w:tblGrid>
        <w:gridCol w:w="329"/>
        <w:gridCol w:w="9876"/>
      </w:tblGrid>
      <w:tr>
        <w:trPr/>
        <w:tc>
          <w:tcPr>
            <w:tcW w:w="329" w:type="dxa"/>
            <w:tcBorders/>
            <w:vAlign w:val="center"/>
          </w:tcPr>
          <w:p>
            <w:pPr>
              <w:pStyle w:val="TableContents"/>
              <w:bidi w:val="0"/>
              <w:spacing w:before="0" w:after="283"/>
              <w:jc w:val="left"/>
              <w:rPr/>
            </w:pPr>
            <w:r>
              <w:rPr/>
              <w:t> </w:t>
            </w:r>
          </w:p>
        </w:tc>
        <w:tc>
          <w:tcPr>
            <w:tcW w:w="9876" w:type="dxa"/>
            <w:tcBorders/>
            <w:vAlign w:val="center"/>
          </w:tcPr>
          <w:p>
            <w:pPr>
              <w:pStyle w:val="TableContents"/>
              <w:bidi w:val="0"/>
              <w:spacing w:before="0" w:after="283"/>
              <w:jc w:val="left"/>
              <w:rPr/>
            </w:pPr>
            <w:r>
              <w:rPr/>
              <w:t> </w:t>
            </w:r>
          </w:p>
        </w:tc>
      </w:tr>
      <w:tr>
        <w:trPr/>
        <w:tc>
          <w:tcPr>
            <w:tcW w:w="329"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876" w:type="dxa"/>
            <w:tcBorders/>
            <w:tcMar>
              <w:top w:w="0" w:type="dxa"/>
              <w:left w:w="0" w:type="dxa"/>
              <w:bottom w:w="0" w:type="dxa"/>
              <w:right w:w="0" w:type="dxa"/>
            </w:tcMar>
            <w:vAlign w:val="center"/>
          </w:tcPr>
          <w:p>
            <w:pPr>
              <w:pStyle w:val="TableContents"/>
              <w:bidi w:val="0"/>
              <w:spacing w:before="0" w:after="80"/>
              <w:jc w:val="left"/>
              <w:rPr/>
            </w:pPr>
            <w:r>
              <w:rPr>
                <w:sz w:val="20"/>
              </w:rPr>
              <w:t>In accordance with Rule 416(a) under the Securities Act, this Registration Statement shall be deemed to cover any additional securities that may from time to time be offered or issued by Ionis Pharmaceuticals, Inc. to prevent dilution resulting from stock splits, stock dividends or similar transactions.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21"/>
        <w:gridCol w:w="9884"/>
      </w:tblGrid>
      <w:tr>
        <w:trPr/>
        <w:tc>
          <w:tcPr>
            <w:tcW w:w="321" w:type="dxa"/>
            <w:tcBorders/>
            <w:vAlign w:val="center"/>
          </w:tcPr>
          <w:p>
            <w:pPr>
              <w:pStyle w:val="TableContents"/>
              <w:bidi w:val="0"/>
              <w:spacing w:before="0" w:after="283"/>
              <w:jc w:val="left"/>
              <w:rPr/>
            </w:pPr>
            <w:r>
              <w:rPr/>
              <w:t> </w:t>
            </w:r>
          </w:p>
        </w:tc>
        <w:tc>
          <w:tcPr>
            <w:tcW w:w="9884" w:type="dxa"/>
            <w:tcBorders/>
            <w:vAlign w:val="center"/>
          </w:tcPr>
          <w:p>
            <w:pPr>
              <w:pStyle w:val="TableContents"/>
              <w:bidi w:val="0"/>
              <w:spacing w:before="0" w:after="283"/>
              <w:jc w:val="left"/>
              <w:rPr/>
            </w:pPr>
            <w:r>
              <w:rPr/>
              <w:t> </w:t>
            </w:r>
          </w:p>
        </w:tc>
      </w:tr>
      <w:tr>
        <w:trPr/>
        <w:tc>
          <w:tcPr>
            <w:tcW w:w="321"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84"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the purpose of calculating the amount of the registration fee pursuant to Rule 457(c) and Rule 457(h) of the Securities Act. The price per share and the aggregate offering price are calculated on the basis of $53.35, which is the average of the high and low price per share of Registrant’s Common Stock on July 30, 2026, as reported on the Nasdaq Global Market.</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74015/000087401526000115/form10k.htm" TargetMode="External"/><Relationship Id="rId3" Type="http://schemas.openxmlformats.org/officeDocument/2006/relationships/hyperlink" Target="https://www.sec.gov/ix?doc=/Archives/edgar/data/0000874015/000114036126016388/ny20063671x1_def14a.htm" TargetMode="External"/><Relationship Id="rId4" Type="http://schemas.openxmlformats.org/officeDocument/2006/relationships/hyperlink" Target="https://www.sec.gov/ix?doc=/Archives/edgar/data/0000874015/000087401526000177/form10q.htm" TargetMode="External"/><Relationship Id="rId5" Type="http://schemas.openxmlformats.org/officeDocument/2006/relationships/hyperlink" Target="https://www.sec.gov/ix?doc=/Archives/edgar/data/0000874015/000087401526000251/form10q.htm" TargetMode="External"/><Relationship Id="rId6" Type="http://schemas.openxmlformats.org/officeDocument/2006/relationships/hyperlink" Target="https://www.sec.gov/ix?doc=/Archives/edgar/data/0000874015/000114036126008340/ef20067398_8k.htm" TargetMode="External"/><Relationship Id="rId7" Type="http://schemas.openxmlformats.org/officeDocument/2006/relationships/hyperlink" Target="https://www.sec.gov/ix?doc=/Archives/edgar/data/0000874015/000114036126015801/ef20071051_8k.htm" TargetMode="External"/><Relationship Id="rId8" Type="http://schemas.openxmlformats.org/officeDocument/2006/relationships/hyperlink" Target="https://www.sec.gov/ix?doc=/Archives/edgar/data/0000874015/000114036126023093/ef20075060_8k.htm" TargetMode="External"/><Relationship Id="rId9" Type="http://schemas.openxmlformats.org/officeDocument/2006/relationships/hyperlink" Target="https://www.sec.gov/ix?doc=/Archives/edgar/data/0000874015/000114036126024407/ef20075669_8k.htm" TargetMode="External"/><Relationship Id="rId10" Type="http://schemas.openxmlformats.org/officeDocument/2006/relationships/hyperlink" Target="https://www.sec.gov/ix?doc=/Archives/edgar/data/0000874015/000114036126025050/ef20076110_8k.htm" TargetMode="External"/><Relationship Id="rId11" Type="http://schemas.openxmlformats.org/officeDocument/2006/relationships/hyperlink" Target="https://www.sec.gov/ix?doc=/Archives/edgar/data/0000874015/000114036126026232/ef20076807_8k.htm" TargetMode="External"/><Relationship Id="rId12" Type="http://schemas.openxmlformats.org/officeDocument/2006/relationships/hyperlink" Target="https://www.sec.gov/ix?doc=/Archives/edgar/data/0000874015/000114036126028092/ef20077664_8k.htm" TargetMode="External"/><Relationship Id="rId13" Type="http://schemas.openxmlformats.org/officeDocument/2006/relationships/hyperlink" Target="https://www.sec.gov/ix?doc=/Archives/edgar/data/0000874015/000114036126028154/ef20077783_8k.htm" TargetMode="External"/><Relationship Id="rId14" Type="http://schemas.openxmlformats.org/officeDocument/2006/relationships/hyperlink" Target="https://www.sec.gov/ix?doc=/Archives/edgar/data/0000874015/000114036126029960/ef20078953_8k.htm" TargetMode="External"/><Relationship Id="rId15" Type="http://schemas.openxmlformats.org/officeDocument/2006/relationships/hyperlink" Target="https://www.sec.gov/Archives/edgar/data/874015/000087401522000079/exhibit4-11.htm" TargetMode="External"/><Relationship Id="rId16" Type="http://schemas.openxmlformats.org/officeDocument/2006/relationships/hyperlink" Target="https://www.sec.gov/Archives/edgar/data/874015/000087401518000047/exhibit3_1.htm" TargetMode="External"/><Relationship Id="rId17" Type="http://schemas.openxmlformats.org/officeDocument/2006/relationships/hyperlink" Target="https://www.sec.gov/Archives/edgar/data/874015/000114036114017588/formdef14a.htm" TargetMode="External"/><Relationship Id="rId18" Type="http://schemas.openxmlformats.org/officeDocument/2006/relationships/hyperlink" Target="https://www.sec.gov/Archives/edgar/data/874015/000114036115045083/ex3_1.htm" TargetMode="External"/><Relationship Id="rId19" Type="http://schemas.openxmlformats.org/officeDocument/2006/relationships/hyperlink" Target="https://www.sec.gov/Archives/edgar/data/874015/000114036121010402/brhc10022399_ex3-1.htm" TargetMode="External"/><Relationship Id="rId20" Type="http://schemas.openxmlformats.org/officeDocument/2006/relationships/hyperlink" Target="https://www.sec.gov/Archives/edgar/data/874015/000091205700053343/a2032851zex-4_2.txt" TargetMode="External"/><Relationship Id="rId21" Type="http://schemas.openxmlformats.org/officeDocument/2006/relationships/hyperlink" Target="https://www.sec.gov/Archives/edgar/data/874015/000087401518000047/exhibit4_2.htm" TargetMode="External"/><Relationship Id="rId22" Type="http://schemas.openxmlformats.org/officeDocument/2006/relationships/hyperlink" Target="https://www.sec.gov/ix?doc=/Archives/edgar/data/0000874015/000087401523000105/form10k.htm" TargetMode="External"/><Relationship Id="rId23" Type="http://schemas.openxmlformats.org/officeDocument/2006/relationships/hyperlink" Target="https://www.sec.gov/Archives/edgar/data/874015/000087401523000105/exhibit10-14.htm" TargetMode="External"/><Relationship Id="rId24" Type="http://schemas.openxmlformats.org/officeDocument/2006/relationships/hyperlink" Target="https://www.sec.gov/Archives/edgar/data/874015/000087401522000079/exhibit10-19.htm" TargetMode="External"/><Relationship Id="rId25" Type="http://schemas.openxmlformats.org/officeDocument/2006/relationships/hyperlink" Target="https://www.sec.gov/Archives/edgar/data/874015/000087401523000105/exhibit10-16.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3707</Words>
  <Characters>19951</Characters>
  <CharactersWithSpaces>23936</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