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June 4, 2026</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IONIS PHARMACEUTICALS,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ectPr>
          <w:pgSz w:w="11900" w:h="16838" w:orient="portrait"/>
          <w:cols w:equalWidth="0" w:num="1">
            <w:col w:w="11240"/>
          </w:cols>
          <w:pgMar w:left="320" w:top="516" w:right="339" w:bottom="1440" w:gutter="0" w:footer="0" w:header="0"/>
        </w:sectPr>
      </w:pPr>
    </w:p>
    <w:p>
      <w:pPr>
        <w:spacing w:after="0" w:line="20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000-19125</w:t>
      </w:r>
    </w:p>
    <w:p>
      <w:pPr>
        <w:spacing w:after="0" w:line="31"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(Commission File No.)</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b w:val="1"/>
          <w:bCs w:val="1"/>
          <w:color w:val="auto"/>
        </w:rPr>
        <w:t>33-0336973</w:t>
      </w:r>
    </w:p>
    <w:p>
      <w:pPr>
        <w:spacing w:after="0" w:line="31"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1" w:lineRule="exact"/>
        <w:rPr>
          <w:sz w:val="24"/>
          <w:szCs w:val="24"/>
          <w:color w:val="auto"/>
        </w:rPr>
      </w:pPr>
    </w:p>
    <w:p>
      <w:pPr>
        <w:sectPr>
          <w:pgSz w:w="11900" w:h="16838" w:orient="portrait"/>
          <w:cols w:equalWidth="0" w:num="2">
            <w:col w:w="6540" w:space="720"/>
            <w:col w:w="3980"/>
          </w:cols>
          <w:pgMar w:left="320" w:top="516"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2855 Gazelle Court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Carlsbad, CA 92010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and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(760) 931-9200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72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3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9"/>
              </w:rPr>
              <w:t>Trading symbol</w:t>
            </w:r>
          </w:p>
        </w:tc>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34"/>
        </w:trPr>
        <w:tc>
          <w:tcPr>
            <w:tcW w:w="4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520" w:type="dxa"/>
            <w:vAlign w:val="bottom"/>
          </w:tcPr>
          <w:p>
            <w:pPr>
              <w:spacing w:after="0"/>
              <w:rPr>
                <w:sz w:val="20"/>
                <w:szCs w:val="20"/>
                <w:color w:val="auto"/>
              </w:rPr>
            </w:pPr>
          </w:p>
        </w:tc>
        <w:tc>
          <w:tcPr>
            <w:tcW w:w="1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“IONS”</w:t>
            </w:r>
          </w:p>
        </w:tc>
        <w:tc>
          <w:tcPr>
            <w:tcW w:w="520" w:type="dxa"/>
            <w:vAlign w:val="bottom"/>
          </w:tcPr>
          <w:p>
            <w:pPr>
              <w:spacing w:after="0"/>
              <w:rPr>
                <w:sz w:val="20"/>
                <w:szCs w:val="20"/>
                <w:color w:val="auto"/>
              </w:rPr>
            </w:pPr>
          </w:p>
        </w:tc>
        <w:tc>
          <w:tcPr>
            <w:tcW w:w="4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7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(Section 230.405 of this chapter) or Rule 12b-2 of the Securities Exchange Act of 1934 (Section 240.12b-2 of this chapter).</w:t>
      </w:r>
    </w:p>
    <w:p>
      <w:pPr>
        <w:spacing w:after="0" w:line="121" w:lineRule="exact"/>
        <w:rPr>
          <w:sz w:val="24"/>
          <w:szCs w:val="24"/>
          <w:color w:val="auto"/>
        </w:rPr>
      </w:pPr>
    </w:p>
    <w:p>
      <w:pPr>
        <w:jc w:val="right"/>
        <w:spacing w:after="0" w:line="207" w:lineRule="exact"/>
        <w:tabs>
          <w:tab w:leader="none" w:pos="1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bookmarkStart w:id="1" w:name="page2"/>
    <w:bookmarkEnd w:id="1"/>
    <w:p>
      <w:pPr>
        <w:ind w:left="1140" w:right="20" w:hanging="1133"/>
        <w:spacing w:after="0" w:line="286" w:lineRule="auto"/>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9"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of Ludwig N. Hantson to the Board of Directors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On June 4, 2026, the Board of Directors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of Ionis Pharmaceuticals,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appointed Ludwig N. Hantson as a member of the Company’s Board effective June 4, 2026, immediately following the Company’s 2026 Annual Meeting of Stockholders.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Dr. Hantson has more than 30 years of leadership experience at biopharmaceutical and medical device companies. He served as chief executive officer and board member of Alexion from 2017-2021, prior to its acquisition by AstraZeneca. Before joining Alexion, Dr. Hantson served as president of Baxter Bioscience, where he led the spin-off of Baxalta, serving as chief executive officer and board member. Earlier in his career, he held senior leadership roles at Novartis across North America and Europe, including chief executive officer of North America, and spent 13 years at Johnson &amp; Johnson in roles of increasing responsibility. In addition to serving as a director at Alexion and Baxalta, Dr. Hantson served as a director at Hologic, a medical device innovator. He holds a master’s degree in physical education and a Ph.D. in motor rehabilitation &amp; physical therapy from the University of Louvain in Belgium.</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no arrangements or understandings between Dr. Hantson and any other persons pursuant to which Dr. Hantson was appointed as a director of the Company.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Dr. Hantson will receive the standard compensation that the Company provides to its non-employee directors, which consists of cash compensation and automatic equity grants as set forth in the Company’s </w:t>
      </w:r>
      <w:r>
        <w:rPr>
          <w:rFonts w:ascii="Times New Roman" w:cs="Times New Roman" w:eastAsia="Times New Roman" w:hAnsi="Times New Roman"/>
          <w:sz w:val="18"/>
          <w:szCs w:val="18"/>
          <w:u w:val="single" w:color="auto"/>
          <w:color w:val="auto"/>
        </w:rPr>
        <w:t>Fourth Amended Non-Employee Director Compensation Policy</w:t>
      </w:r>
      <w:r>
        <w:rPr>
          <w:rFonts w:ascii="Times New Roman" w:cs="Times New Roman" w:eastAsia="Times New Roman" w:hAnsi="Times New Roman"/>
          <w:sz w:val="18"/>
          <w:szCs w:val="18"/>
          <w:color w:val="auto"/>
        </w:rPr>
        <w:t>, filed as an exhibit to the Company’s Quarterly Report on Form 10-Q filed on April 29, 2026, as amended from time to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Dr. Hantson will enter into the Company’s standard form of indemnity agreement.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As previously announced in the Form 8-K filed with the SEC on </w:t>
      </w:r>
      <w:r>
        <w:rPr>
          <w:rFonts w:ascii="Times New Roman" w:cs="Times New Roman" w:eastAsia="Times New Roman" w:hAnsi="Times New Roman"/>
          <w:sz w:val="18"/>
          <w:szCs w:val="18"/>
          <w:u w:val="single" w:color="auto"/>
          <w:color w:val="auto"/>
        </w:rPr>
        <w:t>March 9, 2026</w:t>
      </w:r>
      <w:r>
        <w:rPr>
          <w:rFonts w:ascii="Times New Roman" w:cs="Times New Roman" w:eastAsia="Times New Roman" w:hAnsi="Times New Roman"/>
          <w:sz w:val="18"/>
          <w:szCs w:val="18"/>
          <w:color w:val="auto"/>
        </w:rPr>
        <w:t>, the Company also appointed Peter N. Reikes as a member of the Company’s Board effective June 4, 2026, immediately following the Company’s 2026 Annual Meeting of Stockholders.</w:t>
      </w:r>
    </w:p>
    <w:p>
      <w:pPr>
        <w:spacing w:after="0" w:line="15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8, 2026, the Company issued a press release announcing that Dr. Hantson was appointed to the Company’s Board on June 4, 2026. A copy of the press release is furnished as Exhibit 99.1 to this Current Report on Form 8-K.</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Item 7.01 and the exhibit attached hereto shall not be deemed “filed” for purposes of Section 18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held its virtual Annual Meeting of Stockholders on June 4, 2026. The stockholders considered five proposals, each of which is described in more detail in the Company’s definitive proxy statement dated April 23,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Proposal 1:  </w:t>
      </w:r>
      <w:r>
        <w:rPr>
          <w:rFonts w:ascii="Times New Roman" w:cs="Times New Roman" w:eastAsia="Times New Roman" w:hAnsi="Times New Roman"/>
          <w:sz w:val="18"/>
          <w:szCs w:val="18"/>
          <w:color w:val="auto"/>
        </w:rPr>
        <w:t>Election of directors to hold office until the 2029 Annual Meeting:</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w:t>
            </w: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w w:val="98"/>
              </w:rPr>
              <w:t>AGAINST</w:t>
            </w:r>
          </w:p>
        </w:tc>
        <w:tc>
          <w:tcPr>
            <w:tcW w:w="1360" w:type="dxa"/>
            <w:vAlign w:val="bottom"/>
          </w:tcPr>
          <w:p>
            <w:pPr>
              <w:spacing w:after="0"/>
              <w:rPr>
                <w:sz w:val="17"/>
                <w:szCs w:val="17"/>
                <w:color w:val="auto"/>
              </w:rPr>
            </w:pPr>
          </w:p>
        </w:tc>
        <w:tc>
          <w:tcPr>
            <w:tcW w:w="2000" w:type="dxa"/>
            <w:vAlign w:val="bottom"/>
            <w:gridSpan w:val="2"/>
          </w:tcPr>
          <w:p>
            <w:pPr>
              <w:jc w:val="center"/>
              <w:ind w:right="1240"/>
              <w:spacing w:after="0"/>
              <w:rPr>
                <w:sz w:val="20"/>
                <w:szCs w:val="20"/>
                <w:color w:val="auto"/>
              </w:rPr>
            </w:pPr>
            <w:r>
              <w:rPr>
                <w:rFonts w:ascii="Times New Roman" w:cs="Times New Roman" w:eastAsia="Times New Roman" w:hAnsi="Times New Roman"/>
                <w:sz w:val="18"/>
                <w:szCs w:val="18"/>
                <w:color w:val="auto"/>
                <w:w w:val="97"/>
              </w:rPr>
              <w:t>ABSTAIN</w:t>
            </w:r>
          </w:p>
        </w:tc>
        <w:tc>
          <w:tcPr>
            <w:tcW w:w="1560" w:type="dxa"/>
            <w:vAlign w:val="bottom"/>
            <w:gridSpan w:val="4"/>
          </w:tcPr>
          <w:p>
            <w:pPr>
              <w:jc w:val="center"/>
              <w:ind w:right="540"/>
              <w:spacing w:after="0"/>
              <w:rPr>
                <w:sz w:val="20"/>
                <w:szCs w:val="20"/>
                <w:color w:val="auto"/>
              </w:rPr>
            </w:pPr>
            <w:r>
              <w:rPr>
                <w:rFonts w:ascii="Times New Roman" w:cs="Times New Roman" w:eastAsia="Times New Roman" w:hAnsi="Times New Roman"/>
                <w:sz w:val="18"/>
                <w:szCs w:val="18"/>
                <w:color w:val="auto"/>
              </w:rPr>
              <w:t>BROKER</w:t>
            </w:r>
          </w:p>
        </w:tc>
      </w:tr>
      <w:tr>
        <w:trPr>
          <w:trHeight w:val="20"/>
        </w:trPr>
        <w:tc>
          <w:tcPr>
            <w:tcW w:w="2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2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560" w:type="dxa"/>
            <w:vAlign w:val="bottom"/>
            <w:gridSpan w:val="4"/>
          </w:tcPr>
          <w:p>
            <w:pPr>
              <w:jc w:val="center"/>
              <w:ind w:right="540"/>
              <w:spacing w:after="0" w:line="196" w:lineRule="exact"/>
              <w:rPr>
                <w:sz w:val="20"/>
                <w:szCs w:val="20"/>
                <w:color w:val="auto"/>
              </w:rPr>
            </w:pPr>
            <w:r>
              <w:rPr>
                <w:rFonts w:ascii="Times New Roman" w:cs="Times New Roman" w:eastAsia="Times New Roman" w:hAnsi="Times New Roman"/>
                <w:sz w:val="18"/>
                <w:szCs w:val="18"/>
                <w:color w:val="auto"/>
                <w:w w:val="99"/>
              </w:rPr>
              <w:t>NON-VOTES</w:t>
            </w:r>
          </w:p>
        </w:tc>
      </w:tr>
      <w:tr>
        <w:trPr>
          <w:trHeight w:val="21"/>
        </w:trPr>
        <w:tc>
          <w:tcPr>
            <w:tcW w:w="2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Spencer R. Berthelsen</w:t>
            </w:r>
          </w:p>
        </w:tc>
        <w:tc>
          <w:tcPr>
            <w:tcW w:w="2400" w:type="dxa"/>
            <w:vAlign w:val="bottom"/>
            <w:gridSpan w:val="3"/>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7"/>
              </w:rPr>
              <w:t>119,824,353</w:t>
            </w:r>
          </w:p>
        </w:tc>
        <w:tc>
          <w:tcPr>
            <w:tcW w:w="2800" w:type="dxa"/>
            <w:vAlign w:val="bottom"/>
            <w:gridSpan w:val="3"/>
            <w:shd w:val="clear" w:color="auto" w:fill="CCEEFF"/>
          </w:tcPr>
          <w:p>
            <w:pPr>
              <w:jc w:val="right"/>
              <w:ind w:right="1360"/>
              <w:spacing w:after="0"/>
              <w:rPr>
                <w:sz w:val="20"/>
                <w:szCs w:val="20"/>
                <w:color w:val="auto"/>
              </w:rPr>
            </w:pPr>
            <w:r>
              <w:rPr>
                <w:rFonts w:ascii="Times New Roman" w:cs="Times New Roman" w:eastAsia="Times New Roman" w:hAnsi="Times New Roman"/>
                <w:sz w:val="18"/>
                <w:szCs w:val="18"/>
                <w:color w:val="auto"/>
              </w:rPr>
              <w:t>20,816,547</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98,115</w:t>
            </w:r>
          </w:p>
        </w:tc>
        <w:tc>
          <w:tcPr>
            <w:tcW w:w="12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12,305,695</w:t>
            </w:r>
          </w:p>
        </w:tc>
        <w:tc>
          <w:tcPr>
            <w:tcW w:w="540" w:type="dxa"/>
            <w:vAlign w:val="bottom"/>
            <w:shd w:val="clear" w:color="auto" w:fill="CCEEFF"/>
          </w:tcPr>
          <w:p>
            <w:pPr>
              <w:spacing w:after="0"/>
              <w:rPr>
                <w:sz w:val="18"/>
                <w:szCs w:val="18"/>
                <w:color w:val="auto"/>
              </w:rPr>
            </w:pPr>
          </w:p>
        </w:tc>
      </w:tr>
      <w:tr>
        <w:trPr>
          <w:trHeight w:val="216"/>
        </w:trPr>
        <w:tc>
          <w:tcPr>
            <w:tcW w:w="2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Joan E. Herman</w:t>
            </w:r>
          </w:p>
        </w:tc>
        <w:tc>
          <w:tcPr>
            <w:tcW w:w="2400" w:type="dxa"/>
            <w:vAlign w:val="bottom"/>
            <w:gridSpan w:val="3"/>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135,599,646</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5,076,895</w:t>
            </w:r>
          </w:p>
        </w:tc>
        <w:tc>
          <w:tcPr>
            <w:tcW w:w="13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62,474</w:t>
            </w:r>
          </w:p>
        </w:tc>
        <w:tc>
          <w:tcPr>
            <w:tcW w:w="12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12,305,695</w:t>
            </w:r>
          </w:p>
        </w:tc>
        <w:tc>
          <w:tcPr>
            <w:tcW w:w="54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stockholders elected the foregoing candidates by affirmative votes by a majority of the votes of the shares represented in person or by proxy at the meeting and entitled to vote in the election of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2</w:t>
      </w:r>
      <w:r>
        <w:rPr>
          <w:rFonts w:ascii="Times New Roman" w:cs="Times New Roman" w:eastAsia="Times New Roman" w:hAnsi="Times New Roman"/>
          <w:sz w:val="18"/>
          <w:szCs w:val="18"/>
          <w:color w:val="auto"/>
        </w:rPr>
        <w:t>:  An advisory vote on the compensation paid to the Company’s executive officers, including the following resolution:</w:t>
      </w:r>
    </w:p>
    <w:p>
      <w:pPr>
        <w:spacing w:after="0" w:line="225" w:lineRule="exact"/>
        <w:rPr>
          <w:sz w:val="20"/>
          <w:szCs w:val="20"/>
          <w:color w:val="auto"/>
        </w:rPr>
      </w:pPr>
    </w:p>
    <w:p>
      <w:pPr>
        <w:jc w:val="both"/>
        <w:ind w:firstLine="810"/>
        <w:spacing w:after="0" w:line="268" w:lineRule="auto"/>
        <w:rPr>
          <w:sz w:val="20"/>
          <w:szCs w:val="20"/>
          <w:color w:val="auto"/>
        </w:rPr>
      </w:pPr>
      <w:r>
        <w:rPr>
          <w:rFonts w:ascii="Times New Roman" w:cs="Times New Roman" w:eastAsia="Times New Roman" w:hAnsi="Times New Roman"/>
          <w:sz w:val="18"/>
          <w:szCs w:val="18"/>
          <w:b w:val="1"/>
          <w:bCs w:val="1"/>
          <w:color w:val="auto"/>
        </w:rPr>
        <w:t>“RESOLVED, that Ionis’ stockholders approve, on an advisory (nonbinding) basis, the compensation of the named executive officers, as disclosed in this Proxy Statement for the 2026 Annual Meeting of Stockholders pursuant to the compensation disclosure rules of the Securities and Exchange Commission.”</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tcPr>
          <w:p>
            <w:pPr>
              <w:spacing w:after="0"/>
              <w:rPr>
                <w:sz w:val="17"/>
                <w:szCs w:val="17"/>
                <w:color w:val="auto"/>
              </w:rPr>
            </w:pPr>
          </w:p>
        </w:tc>
        <w:tc>
          <w:tcPr>
            <w:tcW w:w="2440" w:type="dxa"/>
            <w:vAlign w:val="bottom"/>
            <w:gridSpan w:val="2"/>
          </w:tcPr>
          <w:p>
            <w:pPr>
              <w:jc w:val="center"/>
              <w:ind w:right="2080"/>
              <w:spacing w:after="0"/>
              <w:rPr>
                <w:sz w:val="20"/>
                <w:szCs w:val="20"/>
                <w:color w:val="auto"/>
              </w:rPr>
            </w:pPr>
            <w:r>
              <w:rPr>
                <w:rFonts w:ascii="Times New Roman" w:cs="Times New Roman" w:eastAsia="Times New Roman" w:hAnsi="Times New Roman"/>
                <w:sz w:val="18"/>
                <w:szCs w:val="18"/>
                <w:color w:val="auto"/>
              </w:rPr>
              <w:t>FOR</w:t>
            </w:r>
          </w:p>
        </w:tc>
        <w:tc>
          <w:tcPr>
            <w:tcW w:w="2660" w:type="dxa"/>
            <w:vAlign w:val="bottom"/>
            <w:gridSpan w:val="2"/>
          </w:tcPr>
          <w:p>
            <w:pPr>
              <w:jc w:val="center"/>
              <w:ind w:right="1860"/>
              <w:spacing w:after="0"/>
              <w:rPr>
                <w:sz w:val="20"/>
                <w:szCs w:val="20"/>
                <w:color w:val="auto"/>
              </w:rPr>
            </w:pPr>
            <w:r>
              <w:rPr>
                <w:rFonts w:ascii="Times New Roman" w:cs="Times New Roman" w:eastAsia="Times New Roman" w:hAnsi="Times New Roman"/>
                <w:sz w:val="18"/>
                <w:szCs w:val="18"/>
                <w:color w:val="auto"/>
              </w:rPr>
              <w:t>AGAINST</w:t>
            </w:r>
          </w:p>
        </w:tc>
        <w:tc>
          <w:tcPr>
            <w:tcW w:w="2420" w:type="dxa"/>
            <w:vAlign w:val="bottom"/>
            <w:gridSpan w:val="2"/>
          </w:tcPr>
          <w:p>
            <w:pPr>
              <w:jc w:val="center"/>
              <w:ind w:right="1660"/>
              <w:spacing w:after="0"/>
              <w:rPr>
                <w:sz w:val="20"/>
                <w:szCs w:val="20"/>
                <w:color w:val="auto"/>
              </w:rPr>
            </w:pPr>
            <w:r>
              <w:rPr>
                <w:rFonts w:ascii="Times New Roman" w:cs="Times New Roman" w:eastAsia="Times New Roman" w:hAnsi="Times New Roman"/>
                <w:sz w:val="18"/>
                <w:szCs w:val="18"/>
                <w:color w:val="auto"/>
                <w:w w:val="97"/>
              </w:rPr>
              <w:t>ABSTAIN</w:t>
            </w:r>
          </w:p>
        </w:tc>
        <w:tc>
          <w:tcPr>
            <w:tcW w:w="2540" w:type="dxa"/>
            <w:vAlign w:val="bottom"/>
            <w:gridSpan w:val="2"/>
          </w:tcPr>
          <w:p>
            <w:pPr>
              <w:jc w:val="center"/>
              <w:ind w:right="740"/>
              <w:spacing w:after="0"/>
              <w:rPr>
                <w:sz w:val="20"/>
                <w:szCs w:val="20"/>
                <w:color w:val="auto"/>
              </w:rPr>
            </w:pPr>
            <w:r>
              <w:rPr>
                <w:rFonts w:ascii="Times New Roman" w:cs="Times New Roman" w:eastAsia="Times New Roman" w:hAnsi="Times New Roman"/>
                <w:sz w:val="18"/>
                <w:szCs w:val="18"/>
                <w:color w:val="auto"/>
                <w:w w:val="99"/>
              </w:rPr>
              <w:t>BROKER NON-VOTES</w:t>
            </w:r>
          </w:p>
        </w:tc>
      </w:tr>
      <w:tr>
        <w:trPr>
          <w:trHeight w:val="21"/>
        </w:trPr>
        <w:tc>
          <w:tcPr>
            <w:tcW w:w="11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16"/>
        </w:trPr>
        <w:tc>
          <w:tcPr>
            <w:tcW w:w="3620" w:type="dxa"/>
            <w:vAlign w:val="bottom"/>
            <w:gridSpan w:val="3"/>
            <w:shd w:val="clear" w:color="auto" w:fill="CCEEFF"/>
          </w:tcPr>
          <w:p>
            <w:pPr>
              <w:jc w:val="right"/>
              <w:ind w:right="1820"/>
              <w:spacing w:after="0"/>
              <w:rPr>
                <w:sz w:val="20"/>
                <w:szCs w:val="20"/>
                <w:color w:val="auto"/>
              </w:rPr>
            </w:pPr>
            <w:r>
              <w:rPr>
                <w:rFonts w:ascii="Times New Roman" w:cs="Times New Roman" w:eastAsia="Times New Roman" w:hAnsi="Times New Roman"/>
                <w:sz w:val="18"/>
                <w:szCs w:val="18"/>
                <w:color w:val="231F20"/>
              </w:rPr>
              <w:t>135,537,973</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5,088,105</w:t>
            </w:r>
          </w:p>
        </w:tc>
        <w:tc>
          <w:tcPr>
            <w:tcW w:w="18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231F20"/>
              </w:rPr>
              <w:t>112,937</w:t>
            </w:r>
          </w:p>
        </w:tc>
        <w:tc>
          <w:tcPr>
            <w:tcW w:w="166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231F20"/>
              </w:rPr>
              <w:t>12,305,695</w:t>
            </w:r>
          </w:p>
        </w:tc>
        <w:tc>
          <w:tcPr>
            <w:tcW w:w="74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stockholders approved the foregoing proposal.</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Proposal 3</w:t>
      </w:r>
      <w:r>
        <w:rPr>
          <w:rFonts w:ascii="Times New Roman" w:cs="Times New Roman" w:eastAsia="Times New Roman" w:hAnsi="Times New Roman"/>
          <w:sz w:val="18"/>
          <w:szCs w:val="18"/>
          <w:color w:val="auto"/>
        </w:rPr>
        <w:t>: Approval of an amendment of the Amended and Restated Ionis Pharmaceuticals, Inc. 2011 Equity Incentive Plan to increase the aggregate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number of shares of common stock authorized for issuance under such plan by 9,500,000 shares to an aggregate of 52,000,000 shares: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tcPr>
          <w:p>
            <w:pPr>
              <w:spacing w:after="0"/>
              <w:rPr>
                <w:sz w:val="18"/>
                <w:szCs w:val="18"/>
                <w:color w:val="auto"/>
              </w:rPr>
            </w:pPr>
          </w:p>
        </w:tc>
        <w:tc>
          <w:tcPr>
            <w:tcW w:w="1540" w:type="dxa"/>
            <w:vAlign w:val="bottom"/>
            <w:gridSpan w:val="2"/>
          </w:tcPr>
          <w:p>
            <w:pPr>
              <w:jc w:val="center"/>
              <w:ind w:right="1180"/>
              <w:spacing w:after="0"/>
              <w:rPr>
                <w:sz w:val="20"/>
                <w:szCs w:val="20"/>
                <w:color w:val="auto"/>
              </w:rPr>
            </w:pPr>
            <w:r>
              <w:rPr>
                <w:rFonts w:ascii="Times New Roman" w:cs="Times New Roman" w:eastAsia="Times New Roman" w:hAnsi="Times New Roman"/>
                <w:sz w:val="18"/>
                <w:szCs w:val="18"/>
                <w:color w:val="auto"/>
              </w:rPr>
              <w:t>FOR</w:t>
            </w:r>
          </w:p>
        </w:tc>
        <w:tc>
          <w:tcPr>
            <w:tcW w:w="900" w:type="dxa"/>
            <w:vAlign w:val="bottom"/>
          </w:tcPr>
          <w:p>
            <w:pPr>
              <w:spacing w:after="0"/>
              <w:rPr>
                <w:sz w:val="18"/>
                <w:szCs w:val="18"/>
                <w:color w:val="auto"/>
              </w:rPr>
            </w:pPr>
          </w:p>
        </w:tc>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AGAINST</w:t>
            </w:r>
          </w:p>
        </w:tc>
        <w:tc>
          <w:tcPr>
            <w:tcW w:w="2420" w:type="dxa"/>
            <w:vAlign w:val="bottom"/>
            <w:gridSpan w:val="2"/>
          </w:tcPr>
          <w:p>
            <w:pPr>
              <w:jc w:val="center"/>
              <w:ind w:right="1660"/>
              <w:spacing w:after="0"/>
              <w:rPr>
                <w:sz w:val="20"/>
                <w:szCs w:val="20"/>
                <w:color w:val="auto"/>
              </w:rPr>
            </w:pPr>
            <w:r>
              <w:rPr>
                <w:rFonts w:ascii="Times New Roman" w:cs="Times New Roman" w:eastAsia="Times New Roman" w:hAnsi="Times New Roman"/>
                <w:sz w:val="18"/>
                <w:szCs w:val="18"/>
                <w:color w:val="auto"/>
                <w:w w:val="97"/>
              </w:rPr>
              <w:t>ABSTAIN</w:t>
            </w:r>
          </w:p>
        </w:tc>
        <w:tc>
          <w:tcPr>
            <w:tcW w:w="2540" w:type="dxa"/>
            <w:vAlign w:val="bottom"/>
            <w:gridSpan w:val="2"/>
          </w:tcPr>
          <w:p>
            <w:pPr>
              <w:jc w:val="center"/>
              <w:ind w:right="740"/>
              <w:spacing w:after="0"/>
              <w:rPr>
                <w:sz w:val="20"/>
                <w:szCs w:val="20"/>
                <w:color w:val="auto"/>
              </w:rPr>
            </w:pPr>
            <w:r>
              <w:rPr>
                <w:rFonts w:ascii="Times New Roman" w:cs="Times New Roman" w:eastAsia="Times New Roman" w:hAnsi="Times New Roman"/>
                <w:sz w:val="18"/>
                <w:szCs w:val="18"/>
                <w:color w:val="auto"/>
                <w:w w:val="99"/>
              </w:rPr>
              <w:t>BROKER NON-VOTES</w:t>
            </w:r>
          </w:p>
        </w:tc>
      </w:tr>
      <w:tr>
        <w:trPr>
          <w:trHeight w:val="20"/>
        </w:trPr>
        <w:tc>
          <w:tcPr>
            <w:tcW w:w="11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16"/>
        </w:trPr>
        <w:tc>
          <w:tcPr>
            <w:tcW w:w="2720" w:type="dxa"/>
            <w:vAlign w:val="bottom"/>
            <w:gridSpan w:val="3"/>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231F20"/>
              </w:rPr>
              <w:t>108,377,084</w:t>
            </w:r>
          </w:p>
        </w:tc>
        <w:tc>
          <w:tcPr>
            <w:tcW w:w="356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8"/>
                <w:szCs w:val="18"/>
                <w:color w:val="231F20"/>
              </w:rPr>
              <w:t>32,303,288</w:t>
            </w:r>
          </w:p>
        </w:tc>
        <w:tc>
          <w:tcPr>
            <w:tcW w:w="7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231F20"/>
              </w:rPr>
              <w:t>58,643</w:t>
            </w:r>
          </w:p>
        </w:tc>
        <w:tc>
          <w:tcPr>
            <w:tcW w:w="166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231F20"/>
              </w:rPr>
              <w:t>12,305,695</w:t>
            </w:r>
          </w:p>
        </w:tc>
        <w:tc>
          <w:tcPr>
            <w:tcW w:w="74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stockholders approved the foregoing proposal.</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Proposal 4: </w:t>
      </w:r>
      <w:r>
        <w:rPr>
          <w:rFonts w:ascii="Times New Roman" w:cs="Times New Roman" w:eastAsia="Times New Roman" w:hAnsi="Times New Roman"/>
          <w:sz w:val="18"/>
          <w:szCs w:val="18"/>
          <w:color w:val="auto"/>
        </w:rPr>
        <w:t>Approve an amendment of the Amended and Restated 2000 Employee Stock Purchase Plan to increase the number of shares of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authorized for issuance under such plan by 750,000 shares and to remove the termination date of the plan:</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tcPr>
          <w:p>
            <w:pPr>
              <w:spacing w:after="0"/>
              <w:rPr>
                <w:sz w:val="18"/>
                <w:szCs w:val="18"/>
                <w:color w:val="auto"/>
              </w:rPr>
            </w:pPr>
          </w:p>
        </w:tc>
        <w:tc>
          <w:tcPr>
            <w:tcW w:w="2440" w:type="dxa"/>
            <w:vAlign w:val="bottom"/>
            <w:gridSpan w:val="2"/>
          </w:tcPr>
          <w:p>
            <w:pPr>
              <w:jc w:val="center"/>
              <w:ind w:right="2080"/>
              <w:spacing w:after="0"/>
              <w:rPr>
                <w:sz w:val="20"/>
                <w:szCs w:val="20"/>
                <w:color w:val="auto"/>
              </w:rPr>
            </w:pPr>
            <w:r>
              <w:rPr>
                <w:rFonts w:ascii="Times New Roman" w:cs="Times New Roman" w:eastAsia="Times New Roman" w:hAnsi="Times New Roman"/>
                <w:sz w:val="18"/>
                <w:szCs w:val="18"/>
                <w:color w:val="auto"/>
              </w:rPr>
              <w:t>FOR</w:t>
            </w:r>
          </w:p>
        </w:tc>
        <w:tc>
          <w:tcPr>
            <w:tcW w:w="2660" w:type="dxa"/>
            <w:vAlign w:val="bottom"/>
            <w:gridSpan w:val="2"/>
          </w:tcPr>
          <w:p>
            <w:pPr>
              <w:jc w:val="center"/>
              <w:ind w:right="1860"/>
              <w:spacing w:after="0"/>
              <w:rPr>
                <w:sz w:val="20"/>
                <w:szCs w:val="20"/>
                <w:color w:val="auto"/>
              </w:rPr>
            </w:pPr>
            <w:r>
              <w:rPr>
                <w:rFonts w:ascii="Times New Roman" w:cs="Times New Roman" w:eastAsia="Times New Roman" w:hAnsi="Times New Roman"/>
                <w:sz w:val="18"/>
                <w:szCs w:val="18"/>
                <w:color w:val="auto"/>
              </w:rPr>
              <w:t>AGAINST</w:t>
            </w:r>
          </w:p>
        </w:tc>
        <w:tc>
          <w:tcPr>
            <w:tcW w:w="2420" w:type="dxa"/>
            <w:vAlign w:val="bottom"/>
            <w:gridSpan w:val="2"/>
          </w:tcPr>
          <w:p>
            <w:pPr>
              <w:jc w:val="center"/>
              <w:ind w:right="1660"/>
              <w:spacing w:after="0"/>
              <w:rPr>
                <w:sz w:val="20"/>
                <w:szCs w:val="20"/>
                <w:color w:val="auto"/>
              </w:rPr>
            </w:pPr>
            <w:r>
              <w:rPr>
                <w:rFonts w:ascii="Times New Roman" w:cs="Times New Roman" w:eastAsia="Times New Roman" w:hAnsi="Times New Roman"/>
                <w:sz w:val="18"/>
                <w:szCs w:val="18"/>
                <w:color w:val="auto"/>
                <w:w w:val="97"/>
              </w:rPr>
              <w:t>ABSTAIN</w:t>
            </w:r>
          </w:p>
        </w:tc>
        <w:tc>
          <w:tcPr>
            <w:tcW w:w="2540" w:type="dxa"/>
            <w:vAlign w:val="bottom"/>
            <w:gridSpan w:val="2"/>
          </w:tcPr>
          <w:p>
            <w:pPr>
              <w:jc w:val="center"/>
              <w:ind w:right="740"/>
              <w:spacing w:after="0"/>
              <w:rPr>
                <w:sz w:val="20"/>
                <w:szCs w:val="20"/>
                <w:color w:val="auto"/>
              </w:rPr>
            </w:pPr>
            <w:r>
              <w:rPr>
                <w:rFonts w:ascii="Times New Roman" w:cs="Times New Roman" w:eastAsia="Times New Roman" w:hAnsi="Times New Roman"/>
                <w:sz w:val="18"/>
                <w:szCs w:val="18"/>
                <w:color w:val="auto"/>
                <w:w w:val="99"/>
              </w:rPr>
              <w:t>BROKER NON-VOTES</w:t>
            </w:r>
          </w:p>
        </w:tc>
      </w:tr>
      <w:tr>
        <w:trPr>
          <w:trHeight w:val="20"/>
        </w:trPr>
        <w:tc>
          <w:tcPr>
            <w:tcW w:w="11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16"/>
        </w:trPr>
        <w:tc>
          <w:tcPr>
            <w:tcW w:w="3620" w:type="dxa"/>
            <w:vAlign w:val="bottom"/>
            <w:gridSpan w:val="3"/>
            <w:shd w:val="clear" w:color="auto" w:fill="CCEEFF"/>
          </w:tcPr>
          <w:p>
            <w:pPr>
              <w:jc w:val="right"/>
              <w:ind w:right="1820"/>
              <w:spacing w:after="0"/>
              <w:rPr>
                <w:sz w:val="20"/>
                <w:szCs w:val="20"/>
                <w:color w:val="auto"/>
              </w:rPr>
            </w:pPr>
            <w:r>
              <w:rPr>
                <w:rFonts w:ascii="Times New Roman" w:cs="Times New Roman" w:eastAsia="Times New Roman" w:hAnsi="Times New Roman"/>
                <w:sz w:val="18"/>
                <w:szCs w:val="18"/>
                <w:color w:val="231F20"/>
              </w:rPr>
              <w:t>140,348,001</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231F20"/>
              </w:rPr>
              <w:t>332,204</w:t>
            </w:r>
          </w:p>
        </w:tc>
        <w:tc>
          <w:tcPr>
            <w:tcW w:w="18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231F20"/>
              </w:rPr>
              <w:t>58,810</w:t>
            </w:r>
          </w:p>
        </w:tc>
        <w:tc>
          <w:tcPr>
            <w:tcW w:w="166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231F20"/>
              </w:rPr>
              <w:t>12,305,695</w:t>
            </w:r>
          </w:p>
        </w:tc>
        <w:tc>
          <w:tcPr>
            <w:tcW w:w="74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stockholders approved the foregoing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 xml:space="preserve">Proposal 5:  </w:t>
      </w:r>
      <w:r>
        <w:rPr>
          <w:rFonts w:ascii="Times New Roman" w:cs="Times New Roman" w:eastAsia="Times New Roman" w:hAnsi="Times New Roman"/>
          <w:sz w:val="18"/>
          <w:szCs w:val="18"/>
          <w:color w:val="auto"/>
        </w:rPr>
        <w:t>Ratify the Audit Committee’s selection of Ernst &amp; Young LLP as independent auditors for the 2026 fiscal year:</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tcPr>
          <w:p>
            <w:pPr>
              <w:spacing w:after="0"/>
              <w:rPr>
                <w:sz w:val="17"/>
                <w:szCs w:val="17"/>
                <w:color w:val="auto"/>
              </w:rPr>
            </w:pPr>
          </w:p>
        </w:tc>
        <w:tc>
          <w:tcPr>
            <w:tcW w:w="2440" w:type="dxa"/>
            <w:vAlign w:val="bottom"/>
            <w:gridSpan w:val="2"/>
          </w:tcPr>
          <w:p>
            <w:pPr>
              <w:jc w:val="center"/>
              <w:ind w:right="2080"/>
              <w:spacing w:after="0"/>
              <w:rPr>
                <w:sz w:val="20"/>
                <w:szCs w:val="20"/>
                <w:color w:val="auto"/>
              </w:rPr>
            </w:pPr>
            <w:r>
              <w:rPr>
                <w:rFonts w:ascii="Times New Roman" w:cs="Times New Roman" w:eastAsia="Times New Roman" w:hAnsi="Times New Roman"/>
                <w:sz w:val="18"/>
                <w:szCs w:val="18"/>
                <w:color w:val="auto"/>
              </w:rPr>
              <w:t>FOR</w:t>
            </w:r>
          </w:p>
        </w:tc>
        <w:tc>
          <w:tcPr>
            <w:tcW w:w="2660" w:type="dxa"/>
            <w:vAlign w:val="bottom"/>
            <w:gridSpan w:val="2"/>
          </w:tcPr>
          <w:p>
            <w:pPr>
              <w:jc w:val="center"/>
              <w:ind w:right="1860"/>
              <w:spacing w:after="0"/>
              <w:rPr>
                <w:sz w:val="20"/>
                <w:szCs w:val="20"/>
                <w:color w:val="auto"/>
              </w:rPr>
            </w:pPr>
            <w:r>
              <w:rPr>
                <w:rFonts w:ascii="Times New Roman" w:cs="Times New Roman" w:eastAsia="Times New Roman" w:hAnsi="Times New Roman"/>
                <w:sz w:val="18"/>
                <w:szCs w:val="18"/>
                <w:color w:val="auto"/>
              </w:rPr>
              <w:t>AGAINST</w:t>
            </w:r>
          </w:p>
        </w:tc>
        <w:tc>
          <w:tcPr>
            <w:tcW w:w="2420" w:type="dxa"/>
            <w:vAlign w:val="bottom"/>
            <w:gridSpan w:val="2"/>
          </w:tcPr>
          <w:p>
            <w:pPr>
              <w:jc w:val="center"/>
              <w:ind w:right="1660"/>
              <w:spacing w:after="0"/>
              <w:rPr>
                <w:sz w:val="20"/>
                <w:szCs w:val="20"/>
                <w:color w:val="auto"/>
              </w:rPr>
            </w:pPr>
            <w:r>
              <w:rPr>
                <w:rFonts w:ascii="Times New Roman" w:cs="Times New Roman" w:eastAsia="Times New Roman" w:hAnsi="Times New Roman"/>
                <w:sz w:val="18"/>
                <w:szCs w:val="18"/>
                <w:color w:val="auto"/>
                <w:w w:val="97"/>
              </w:rPr>
              <w:t>ABSTAIN</w:t>
            </w:r>
          </w:p>
        </w:tc>
        <w:tc>
          <w:tcPr>
            <w:tcW w:w="2540" w:type="dxa"/>
            <w:vAlign w:val="bottom"/>
            <w:gridSpan w:val="2"/>
          </w:tcPr>
          <w:p>
            <w:pPr>
              <w:jc w:val="center"/>
              <w:ind w:right="740"/>
              <w:spacing w:after="0"/>
              <w:rPr>
                <w:sz w:val="20"/>
                <w:szCs w:val="20"/>
                <w:color w:val="auto"/>
              </w:rPr>
            </w:pPr>
            <w:r>
              <w:rPr>
                <w:rFonts w:ascii="Times New Roman" w:cs="Times New Roman" w:eastAsia="Times New Roman" w:hAnsi="Times New Roman"/>
                <w:sz w:val="18"/>
                <w:szCs w:val="18"/>
                <w:color w:val="auto"/>
                <w:w w:val="99"/>
              </w:rPr>
              <w:t>BROKER NON-VOTES</w:t>
            </w:r>
          </w:p>
        </w:tc>
      </w:tr>
      <w:tr>
        <w:trPr>
          <w:trHeight w:val="21"/>
        </w:trPr>
        <w:tc>
          <w:tcPr>
            <w:tcW w:w="11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16"/>
        </w:trPr>
        <w:tc>
          <w:tcPr>
            <w:tcW w:w="3620" w:type="dxa"/>
            <w:vAlign w:val="bottom"/>
            <w:gridSpan w:val="3"/>
            <w:shd w:val="clear" w:color="auto" w:fill="CCEEFF"/>
          </w:tcPr>
          <w:p>
            <w:pPr>
              <w:jc w:val="right"/>
              <w:ind w:right="1820"/>
              <w:spacing w:after="0"/>
              <w:rPr>
                <w:sz w:val="20"/>
                <w:szCs w:val="20"/>
                <w:color w:val="auto"/>
              </w:rPr>
            </w:pPr>
            <w:r>
              <w:rPr>
                <w:rFonts w:ascii="Times New Roman" w:cs="Times New Roman" w:eastAsia="Times New Roman" w:hAnsi="Times New Roman"/>
                <w:sz w:val="18"/>
                <w:szCs w:val="18"/>
                <w:color w:val="231F20"/>
              </w:rPr>
              <w:t>148,893,646</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4,000,539</w:t>
            </w:r>
          </w:p>
        </w:tc>
        <w:tc>
          <w:tcPr>
            <w:tcW w:w="18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231F20"/>
              </w:rPr>
              <w:t>150,525</w:t>
            </w:r>
          </w:p>
        </w:tc>
        <w:tc>
          <w:tcPr>
            <w:tcW w:w="166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231F20"/>
              </w:rPr>
              <w:t>0</w:t>
            </w:r>
          </w:p>
        </w:tc>
        <w:tc>
          <w:tcPr>
            <w:tcW w:w="74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stockholders approved the foregoing proposal.</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 Exhibits.</w:t>
            </w: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660" w:type="dxa"/>
            <w:vAlign w:val="bottom"/>
          </w:tcPr>
          <w:p>
            <w:pPr>
              <w:spacing w:after="0"/>
              <w:rPr>
                <w:sz w:val="20"/>
                <w:szCs w:val="20"/>
                <w:color w:val="auto"/>
              </w:rPr>
            </w:pPr>
          </w:p>
        </w:tc>
      </w:tr>
      <w:tr>
        <w:trPr>
          <w:trHeight w:val="392"/>
        </w:trPr>
        <w:tc>
          <w:tcPr>
            <w:tcW w:w="42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200" w:type="dxa"/>
            <w:vAlign w:val="bottom"/>
          </w:tcPr>
          <w:p>
            <w:pPr>
              <w:spacing w:after="0"/>
              <w:rPr>
                <w:sz w:val="24"/>
                <w:szCs w:val="24"/>
                <w:color w:val="auto"/>
              </w:rPr>
            </w:pPr>
          </w:p>
        </w:tc>
        <w:tc>
          <w:tcPr>
            <w:tcW w:w="974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880" w:type="dxa"/>
            <w:vAlign w:val="bottom"/>
            <w:gridSpan w:val="3"/>
          </w:tcPr>
          <w:p>
            <w:pPr>
              <w:jc w:val="center"/>
              <w:ind w:right="280"/>
              <w:spacing w:after="0" w:line="19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00" w:type="dxa"/>
            <w:vAlign w:val="bottom"/>
          </w:tcPr>
          <w:p>
            <w:pPr>
              <w:spacing w:after="0"/>
              <w:rPr>
                <w:sz w:val="17"/>
                <w:szCs w:val="17"/>
                <w:color w:val="auto"/>
              </w:rPr>
            </w:pPr>
          </w:p>
        </w:tc>
        <w:tc>
          <w:tcPr>
            <w:tcW w:w="9740" w:type="dxa"/>
            <w:vAlign w:val="bottom"/>
            <w:gridSpan w:val="3"/>
          </w:tcPr>
          <w:p>
            <w:pPr>
              <w:ind w:left="200"/>
              <w:spacing w:after="0" w:line="196" w:lineRule="exact"/>
              <w:rPr>
                <w:sz w:val="20"/>
                <w:szCs w:val="20"/>
                <w:color w:val="auto"/>
              </w:rPr>
            </w:pPr>
            <w:r>
              <w:rPr>
                <w:rFonts w:ascii="Times New Roman" w:cs="Times New Roman" w:eastAsia="Times New Roman" w:hAnsi="Times New Roman"/>
                <w:sz w:val="18"/>
                <w:szCs w:val="18"/>
                <w:color w:val="auto"/>
              </w:rPr>
              <w:t>Press Release dated June 8, 2026.</w:t>
            </w:r>
          </w:p>
        </w:tc>
      </w:tr>
      <w:tr>
        <w:trPr>
          <w:trHeight w:val="453"/>
        </w:trPr>
        <w:tc>
          <w:tcPr>
            <w:tcW w:w="700" w:type="dxa"/>
            <w:vAlign w:val="bottom"/>
            <w:gridSpan w:val="2"/>
          </w:tcPr>
          <w:p>
            <w:pPr>
              <w:spacing w:after="0"/>
              <w:rPr>
                <w:sz w:val="24"/>
                <w:szCs w:val="24"/>
                <w:color w:val="auto"/>
              </w:rPr>
            </w:pPr>
          </w:p>
        </w:tc>
        <w:tc>
          <w:tcPr>
            <w:tcW w:w="300" w:type="dxa"/>
            <w:vAlign w:val="bottom"/>
            <w:tcBorders>
              <w:top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auto"/>
                <w:w w:val="96"/>
              </w:rPr>
              <w:t>104</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7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398"/>
        </w:trPr>
        <w:tc>
          <w:tcPr>
            <w:tcW w:w="4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onis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harmaceuticals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Dated: June 8, 2026</w:t>
      </w:r>
      <w:r>
        <w:rPr>
          <w:sz w:val="20"/>
          <w:szCs w:val="20"/>
          <w:color w:val="auto"/>
        </w:rPr>
        <w:tab/>
      </w:r>
      <w:r>
        <w:rPr>
          <w:rFonts w:ascii="Times New Roman" w:cs="Times New Roman" w:eastAsia="Times New Roman" w:hAnsi="Times New Roman"/>
          <w:sz w:val="18"/>
          <w:szCs w:val="18"/>
          <w:color w:val="auto"/>
        </w:rPr>
        <w:t>By: /s/ Patrick R. O’Neil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atrick</w:t>
      </w:r>
      <w:r>
        <w:rPr>
          <w:rFonts w:ascii="Times New Roman" w:cs="Times New Roman" w:eastAsia="Times New Roman" w:hAnsi="Times New Roman"/>
          <w:sz w:val="18"/>
          <w:szCs w:val="18"/>
          <w:b w:val="1"/>
          <w:bCs w:val="1"/>
          <w:color w:val="auto"/>
        </w:rPr>
        <w:t xml:space="preserve"> R. O’N</w:t>
      </w:r>
      <w:r>
        <w:rPr>
          <w:rFonts w:ascii="Times New Roman" w:cs="Times New Roman" w:eastAsia="Times New Roman" w:hAnsi="Times New Roman"/>
          <w:sz w:val="12"/>
          <w:szCs w:val="12"/>
          <w:b w:val="1"/>
          <w:bCs w:val="1"/>
          <w:color w:val="auto"/>
        </w:rPr>
        <w:t>eil</w:t>
      </w:r>
    </w:p>
    <w:p>
      <w:pPr>
        <w:spacing w:after="0" w:line="3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Executive Vice President, Legal, General Counsel and Chief Compliance</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294130" cy="4203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9413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Ionis announces appointment of Ludwig Hantson, Ph.D. to Board of Directors</w:t>
      </w:r>
    </w:p>
    <w:p>
      <w:pPr>
        <w:spacing w:after="0" w:line="225"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CARLSBAD, Calif., June 8, 2026 -- </w:t>
      </w:r>
      <w:r>
        <w:rPr>
          <w:rFonts w:ascii="Times New Roman" w:cs="Times New Roman" w:eastAsia="Times New Roman" w:hAnsi="Times New Roman"/>
          <w:sz w:val="18"/>
          <w:szCs w:val="18"/>
          <w:u w:val="single" w:color="auto"/>
          <w:color w:val="auto"/>
        </w:rPr>
        <w:t>Ionis Pharmaceuticals,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IONS) today announced the appointment of Ludwig Hantson, Ph.D.,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accomplished global biopharmaceutical leader, to the Ionis Board of Directors, effective immediately.</w:t>
      </w:r>
    </w:p>
    <w:p>
      <w:pPr>
        <w:spacing w:after="0" w:line="15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are pleased to welcome Dr. Hantson to the board,” said Joseph Loscalzo, M.D., Ph.D., chairman of the Ionis Board of Directors. “Ludwig’s biopharma executive leadership experience will be especially meaningful as Ionis prepares for a steady cadence of new commercial launches, including two additional independent launches this year, while continuing to scale its operations as a fully integrated biotechnology company.”</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Dr. Hantson has more than 30 years of leadership experience at biopharmaceutical and medical device companies. He served as chief executive officer and board member of Alexion from 2017-2021, prior to its acquisition by AstraZeneca. Under his leadership, Dr. Hantson redefined the company’s strategy and operating model and strengthened execution across the business.</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Before joining Alexion, Dr. Hantson served as president of Baxter Bioscience, where he led the spin-off of Baxalta, serving as chief executive officer and board member. Earlier in his career, he held senior leadership roles at Novartis across North America and Europe, including chief executive officer of North America, and spent 13 years at Johnson &amp; Johnson in roles of increasing responsibility. In addition to serving as a director at Alexion and Baxalta, Dr. Hantson served as a director at Hologic, a medical device innovator. He holds a master's degree in physical education and a Ph.D. in motor rehabilitation &amp; physical therapy from the University of Louvain in Belgium.</w:t>
      </w:r>
    </w:p>
    <w:p>
      <w:pPr>
        <w:spacing w:after="0" w:line="18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are delighted to welcome Dr. Hantson to the board as he brings a wealth of strategic and operational expertise in the biopharmaceutical industry,” said Brett P. Monia, Ph.D., chief executive officer, Ionis. “His experience leading complex global organizations across rare and specialty diseases will be invaluable as Ionis advances our commercial medicines and innovative pipeline and enters a period of accelerated growth and value creation.”</w:t>
      </w:r>
    </w:p>
    <w:p>
      <w:pPr>
        <w:spacing w:after="0" w:line="17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 xml:space="preserve">Ionis also </w:t>
      </w:r>
      <w:r>
        <w:rPr>
          <w:rFonts w:ascii="Times New Roman" w:cs="Times New Roman" w:eastAsia="Times New Roman" w:hAnsi="Times New Roman"/>
          <w:sz w:val="18"/>
          <w:szCs w:val="18"/>
          <w:u w:val="single" w:color="auto"/>
          <w:color w:val="auto"/>
        </w:rPr>
        <w:t>recently announced the appointment of Peter Reikes</w:t>
      </w:r>
      <w:r>
        <w:rPr>
          <w:rFonts w:ascii="Times New Roman" w:cs="Times New Roman" w:eastAsia="Times New Roman" w:hAnsi="Times New Roman"/>
          <w:sz w:val="18"/>
          <w:szCs w:val="18"/>
          <w:color w:val="auto"/>
        </w:rPr>
        <w:t xml:space="preserve"> to the board and the retirement of two long-serving directors, Joseph Wender and Lynne Parshall.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Ionis Pharmaceuticals, Inc.</w:t>
      </w:r>
    </w:p>
    <w:p>
      <w:pPr>
        <w:spacing w:after="0" w:line="3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 xml:space="preserve">For three decades, Ionis has invented medicines that bring better futures to people with serious diseases. Ionis currently has marketed medicines and a leading pipeline in neurology, cardiometabolic disease and select areas of high patient need. As the pioneer in RNA-targeted medicines, Ionis continues to drive innovation in RNA therapies in addition to advancing new approaches in gene editing. A deep understanding of disease biology and industry-leading technology propels our work, coupled with a passion and urgency to deliver life-changing advances for patients. To learn more about Ionis, visit </w:t>
      </w:r>
      <w:r>
        <w:rPr>
          <w:rFonts w:ascii="Times New Roman" w:cs="Times New Roman" w:eastAsia="Times New Roman" w:hAnsi="Times New Roman"/>
          <w:sz w:val="18"/>
          <w:szCs w:val="18"/>
          <w:u w:val="single" w:color="auto"/>
          <w:color w:val="auto"/>
        </w:rPr>
        <w:t>Ionis.com</w:t>
      </w:r>
      <w:r>
        <w:rPr>
          <w:rFonts w:ascii="Times New Roman" w:cs="Times New Roman" w:eastAsia="Times New Roman" w:hAnsi="Times New Roman"/>
          <w:sz w:val="18"/>
          <w:szCs w:val="18"/>
          <w:color w:val="auto"/>
        </w:rPr>
        <w:t xml:space="preserve"> and follow us on </w:t>
      </w:r>
      <w:r>
        <w:rPr>
          <w:rFonts w:ascii="Times New Roman" w:cs="Times New Roman" w:eastAsia="Times New Roman" w:hAnsi="Times New Roman"/>
          <w:sz w:val="18"/>
          <w:szCs w:val="18"/>
          <w:u w:val="single" w:color="auto"/>
          <w:color w:val="auto"/>
        </w:rPr>
        <w:t>X (Twitter)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Instagram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FINAL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294130" cy="419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94130"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Ionis Forward-looking Statements</w:t>
      </w:r>
    </w:p>
    <w:p>
      <w:pPr>
        <w:spacing w:after="0" w:line="31"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This press release includes forward-looking statements regarding Ionis' business, the therapeutic and commercial potential of our commercial medicines, additional medicines in development and technologies, and our expectations regarding development and regulatory milestones. Any statement describing Ionis' goals, expectations, financial or other projections, intentions or beliefs is a forward-looking statement and should be considered an at-risk statement. Such statements are subject to certain risks and uncertainties including those inherent in the process of discovering, developing and commercializing medicines that are safe and effective for use as human therapeutics, and in the endeavor of building a business around such medicines. Ionis' forward-looking statements also involve assumptions that, if they never materialize or prove correct, could cause its results to differ materially from those expressed or implied by such forward-looking statements. Although Ionis' forward-looking statements reflect the good faith judgment of its management, these statements are based only on facts and factors currently known by Ionis. Except as required by law, we undertake no obligation to update any forward-looking statements for any reason. As a result, you are cautioned not to rely on these forward-looking statements. These and other risks concerning Ionis' programs are described in additional detail in Ionis' annual report on Form 10-K for the year ended December 31, 2025, and most recent Form 10-Q, which are on file with the Securities and Exchange Commission. Copies of these and other documents are available from the Company. In this press release, unless the context requires otherwise, "Ionis," "Company," "we," "our" and "us" all refer to Ionis Pharmaceuticals and its subsidiaries.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Ionis Pharmaceuticals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is a trademark of Ionis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2026-06-08T11:51:50Z</dcterms:created>
  <dcterms:modified xsi:type="dcterms:W3CDTF">2026-06-08T11:51:50Z</dcterms:modified>
</cp:coreProperties>
</file>