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orizontalLine"/>
        <w:bidi w:val="0"/>
        <w:jc w:val="left"/>
        <w:rPr/>
      </w:pPr>
      <w:r>
        <w:rPr/>
      </w:r>
    </w:p>
    <w:p>
      <w:pPr>
        <w:pStyle w:val="TextBody"/>
        <w:bidi w:val="0"/>
        <w:spacing w:before="0" w:after="0"/>
        <w:jc w:val="center"/>
        <w:rPr>
          <w:rFonts w:ascii="Times New Roman" w:hAnsi="Times New Roman"/>
          <w:b/>
          <w:color w:val="000000"/>
          <w:sz w:val="28"/>
          <w:shd w:fill="FFFFFF" w:val="clear"/>
        </w:rPr>
      </w:pPr>
      <w:r>
        <w:rPr>
          <w:rFonts w:ascii="Times New Roman" w:hAnsi="Times New Roman"/>
          <w:b/>
          <w:color w:val="000000"/>
          <w:sz w:val="28"/>
          <w:shd w:fill="FFFFFF" w:val="clear"/>
        </w:rPr>
        <w:t>SECURITIES AND EXCHANGE COMMISSION</w:t>
      </w:r>
    </w:p>
    <w:p>
      <w:pPr>
        <w:pStyle w:val="TextBody"/>
        <w:bidi w:val="0"/>
        <w:spacing w:before="0" w:after="0"/>
        <w:jc w:val="center"/>
        <w:rPr>
          <w:rFonts w:ascii="Times New Roman" w:hAnsi="Times New Roman"/>
          <w:b/>
          <w:color w:val="000000"/>
          <w:sz w:val="24"/>
          <w:shd w:fill="FFFFFF" w:val="clear"/>
        </w:rPr>
      </w:pPr>
      <w:r>
        <w:rPr>
          <w:rFonts w:ascii="Times New Roman" w:hAnsi="Times New Roman"/>
          <w:b/>
          <w:color w:val="000000"/>
          <w:sz w:val="24"/>
          <w:shd w:fill="FFFFFF" w:val="clear"/>
        </w:rPr>
        <w:t>Washington, D.C.  20549</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center"/>
        <w:rPr>
          <w:rFonts w:ascii="Times New Roman" w:hAnsi="Times New Roman"/>
          <w:b/>
          <w:color w:val="000000"/>
          <w:sz w:val="36"/>
          <w:shd w:fill="FFFFFF" w:val="clear"/>
        </w:rPr>
      </w:pPr>
      <w:r>
        <w:rPr>
          <w:rFonts w:ascii="Times New Roman" w:hAnsi="Times New Roman"/>
          <w:b/>
          <w:color w:val="000000"/>
          <w:sz w:val="36"/>
          <w:shd w:fill="FFFFFF" w:val="clear"/>
        </w:rPr>
        <w:t>FORM 8-K</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CURRENT REPORT</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PURSUANT TO SECTION 13 OR 15(d) OF THE</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SECURITIES EXCHANGE ACT OF 1934</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Date of report (Date of earliest event reported):  October 20, 2026</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center"/>
        <w:rPr>
          <w:rFonts w:ascii="Times New Roman" w:hAnsi="Times New Roman"/>
          <w:b/>
          <w:color w:val="000000"/>
          <w:sz w:val="48"/>
          <w:shd w:fill="FFFFFF" w:val="clear"/>
        </w:rPr>
      </w:pPr>
      <w:r>
        <w:rPr>
          <w:rFonts w:ascii="Times New Roman" w:hAnsi="Times New Roman"/>
          <w:b/>
          <w:color w:val="000000"/>
          <w:sz w:val="48"/>
          <w:shd w:fill="FFFFFF" w:val="clear"/>
        </w:rPr>
        <w:t>IONIS PHARMACEUTICALS, INC.</w:t>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(Exact Name of Registrant as Specified in Charter)</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Delaware</w:t>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(State or Other Jurisdiction of Incorporation)</w:t>
      </w:r>
    </w:p>
    <w:p>
      <w:pPr>
        <w:pStyle w:val="TextBody"/>
        <w:bidi w:val="0"/>
        <w:spacing w:before="0" w:after="0"/>
        <w:jc w:val="left"/>
        <w:rPr>
          <w:color w:val="000000"/>
          <w:shd w:fill="FFFFFF" w:val="clear"/>
        </w:rPr>
      </w:pPr>
      <w:r>
        <w:rPr>
          <w:color w:val="000000"/>
          <w:shd w:fill="FFFFFF" w:val="clear"/>
        </w:rPr>
        <w:t> </w:t>
      </w:r>
    </w:p>
    <w:tbl>
      <w:tblPr>
        <w:tblW w:w="4638" w:type="dxa"/>
        <w:jc w:val="left"/>
        <w:tblInd w:w="0" w:type="dxa"/>
        <w:tblLayout w:type="fixed"/>
        <w:tblCellMar>
          <w:top w:w="0" w:type="dxa"/>
          <w:left w:w="0" w:type="dxa"/>
          <w:bottom w:w="0" w:type="dxa"/>
          <w:right w:w="0" w:type="dxa"/>
        </w:tblCellMar>
      </w:tblPr>
      <w:tblGrid>
        <w:gridCol w:w="1850"/>
        <w:gridCol w:w="23"/>
        <w:gridCol w:w="2765"/>
      </w:tblGrid>
      <w:tr>
        <w:trPr/>
        <w:tc>
          <w:tcPr>
            <w:tcW w:w="1850" w:type="dxa"/>
            <w:tcBorders/>
            <w:vAlign w:val="center"/>
          </w:tcPr>
          <w:p>
            <w:pPr>
              <w:pStyle w:val="TableContents"/>
              <w:bidi w:val="0"/>
              <w:spacing w:before="0" w:after="283"/>
              <w:jc w:val="center"/>
              <w:rPr>
                <w:b/>
                <w:sz w:val="20"/>
              </w:rPr>
            </w:pPr>
            <w:r>
              <w:rPr>
                <w:b/>
                <w:sz w:val="20"/>
              </w:rPr>
              <w:t>000-19125</w:t>
            </w:r>
          </w:p>
        </w:tc>
        <w:tc>
          <w:tcPr>
            <w:tcW w:w="23" w:type="dxa"/>
            <w:tcBorders/>
            <w:vAlign w:val="center"/>
          </w:tcPr>
          <w:p>
            <w:pPr>
              <w:pStyle w:val="TableContents"/>
              <w:bidi w:val="0"/>
              <w:spacing w:before="0" w:after="283"/>
              <w:jc w:val="left"/>
              <w:rPr/>
            </w:pPr>
            <w:r>
              <w:rPr/>
            </w:r>
          </w:p>
        </w:tc>
        <w:tc>
          <w:tcPr>
            <w:tcW w:w="2765" w:type="dxa"/>
            <w:tcBorders/>
            <w:vAlign w:val="center"/>
          </w:tcPr>
          <w:p>
            <w:pPr>
              <w:pStyle w:val="TableContents"/>
              <w:bidi w:val="0"/>
              <w:spacing w:before="0" w:after="283"/>
              <w:jc w:val="center"/>
              <w:rPr>
                <w:b/>
                <w:sz w:val="20"/>
              </w:rPr>
            </w:pPr>
            <w:r>
              <w:rPr>
                <w:b/>
                <w:sz w:val="20"/>
              </w:rPr>
              <w:t>33-0336973</w:t>
            </w:r>
          </w:p>
        </w:tc>
      </w:tr>
      <w:tr>
        <w:trPr/>
        <w:tc>
          <w:tcPr>
            <w:tcW w:w="1850"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(Commission File No.)</w:t>
            </w:r>
          </w:p>
        </w:tc>
        <w:tc>
          <w:tcPr>
            <w:tcW w:w="23" w:type="dxa"/>
            <w:tcBorders/>
            <w:vAlign w:val="center"/>
          </w:tcPr>
          <w:p>
            <w:pPr>
              <w:pStyle w:val="TableContents"/>
              <w:bidi w:val="0"/>
              <w:spacing w:before="0" w:after="283"/>
              <w:jc w:val="left"/>
              <w:rPr/>
            </w:pPr>
            <w:r>
              <w:rPr/>
            </w:r>
          </w:p>
        </w:tc>
        <w:tc>
          <w:tcPr>
            <w:tcW w:w="2765"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(IRS Employer Identification No.)</w:t>
            </w:r>
          </w:p>
        </w:tc>
      </w:tr>
    </w:tbl>
    <w:p>
      <w:pPr>
        <w:pStyle w:val="TextBody"/>
        <w:bidi w:val="0"/>
        <w:spacing w:before="0" w:after="0"/>
        <w:jc w:val="left"/>
        <w:rPr>
          <w:sz w:val="20"/>
        </w:rPr>
      </w:pPr>
      <w:r>
        <w:rPr>
          <w:sz w:val="20"/>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2855 Gazelle Court</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Carlsbad, CA 92010</w:t>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(Address of Principal Executive Offices and Zip Code)</w:t>
      </w:r>
    </w:p>
    <w:p>
      <w:pPr>
        <w:pStyle w:val="TextBody"/>
        <w:bidi w:val="0"/>
        <w:spacing w:before="0" w:after="0"/>
        <w:jc w:val="left"/>
        <w:rPr>
          <w:color w:val="000000"/>
          <w:shd w:fill="FFFFFF" w:val="clear"/>
        </w:rPr>
      </w:pPr>
      <w:r>
        <w:rPr>
          <w:color w:val="000000"/>
          <w:shd w:fill="FFFFFF" w:val="clear"/>
        </w:rPr>
        <w:t> </w:t>
      </w:r>
    </w:p>
    <w:p>
      <w:pPr>
        <w:pStyle w:val="TextBody"/>
        <w:bidi w:val="0"/>
        <w:jc w:val="center"/>
        <w:rPr>
          <w:rFonts w:ascii="Times New Roman" w:hAnsi="Times New Roman"/>
          <w:color w:val="000000"/>
          <w:sz w:val="20"/>
          <w:shd w:fill="FFFFFF" w:val="clear"/>
        </w:rPr>
      </w:pPr>
      <w:r>
        <w:rPr>
          <w:rFonts w:ascii="Times New Roman" w:hAnsi="Times New Roman"/>
          <w:color w:val="000000"/>
          <w:sz w:val="20"/>
          <w:shd w:fill="FFFFFF" w:val="clear"/>
        </w:rPr>
        <w:t xml:space="preserve">Registrant’s telephone number, including area code: </w:t>
      </w:r>
      <w:r>
        <w:rPr>
          <w:rFonts w:ascii="Times New Roman" w:hAnsi="Times New Roman"/>
          <w:b/>
          <w:color w:val="000000"/>
          <w:sz w:val="20"/>
          <w:shd w:fill="FFFFFF" w:val="clear"/>
        </w:rPr>
        <w:t>(760) 931-9200</w:t>
      </w:r>
    </w:p>
    <w:p>
      <w:pPr>
        <w:pStyle w:val="HorizontalLine"/>
        <w:bidi w:val="0"/>
        <w:jc w:val="left"/>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Check the appropriate box below if the Form 8-K filing is intended to simultaneously satisfy the filing obligation of the registrant under any of the following provisions:</w:t>
      </w:r>
    </w:p>
    <w:p>
      <w:pPr>
        <w:pStyle w:val="TextBody"/>
        <w:bidi w:val="0"/>
        <w:spacing w:before="0" w:after="0"/>
        <w:jc w:val="left"/>
        <w:rPr>
          <w:rFonts w:ascii="Times New Roman" w:hAnsi="Times New Roman"/>
          <w:sz w:val="20"/>
        </w:rPr>
      </w:pPr>
      <w:r>
        <w:rPr>
          <w:rFonts w:ascii="Times New Roman" w:hAnsi="Times New Roman"/>
          <w:sz w:val="20"/>
        </w:rPr>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0"/>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0"/>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Securities registered pursuant to Section 12(b) of the Act:</w:t>
      </w:r>
    </w:p>
    <w:p>
      <w:pPr>
        <w:pStyle w:val="TextBody"/>
        <w:bidi w:val="0"/>
        <w:spacing w:before="0" w:after="0"/>
        <w:jc w:val="left"/>
        <w:rPr>
          <w:sz w:val="20"/>
        </w:rPr>
      </w:pPr>
      <w:r>
        <w:rPr>
          <w:sz w:val="20"/>
        </w:rPr>
      </w:r>
    </w:p>
    <w:tbl>
      <w:tblPr>
        <w:tblW w:w="7695" w:type="dxa"/>
        <w:jc w:val="left"/>
        <w:tblInd w:w="0" w:type="dxa"/>
        <w:tblLayout w:type="fixed"/>
        <w:tblCellMar>
          <w:top w:w="0" w:type="dxa"/>
          <w:left w:w="0" w:type="dxa"/>
          <w:bottom w:w="28" w:type="dxa"/>
          <w:right w:w="0" w:type="dxa"/>
        </w:tblCellMar>
      </w:tblPr>
      <w:tblGrid>
        <w:gridCol w:w="2675"/>
        <w:gridCol w:w="60"/>
        <w:gridCol w:w="1310"/>
        <w:gridCol w:w="60"/>
        <w:gridCol w:w="3590"/>
      </w:tblGrid>
      <w:tr>
        <w:trPr/>
        <w:tc>
          <w:tcPr>
            <w:tcW w:w="2675" w:type="dxa"/>
            <w:tcBorders>
              <w:bottom w:val="single" w:sz="12" w:space="0" w:color="000000"/>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1310" w:type="dxa"/>
            <w:tcBorders>
              <w:bottom w:val="single" w:sz="12" w:space="0" w:color="000000"/>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Trading symbol</w:t>
            </w:r>
          </w:p>
        </w:tc>
        <w:tc>
          <w:tcPr>
            <w:tcW w:w="60" w:type="dxa"/>
            <w:tcBorders/>
            <w:tcMar>
              <w:bottom w:w="0" w:type="dxa"/>
            </w:tcMar>
            <w:vAlign w:val="center"/>
          </w:tcPr>
          <w:p>
            <w:pPr>
              <w:pStyle w:val="TableContents"/>
              <w:bidi w:val="0"/>
              <w:spacing w:before="0" w:after="283"/>
              <w:jc w:val="left"/>
              <w:rPr/>
            </w:pPr>
            <w:r>
              <w:rPr/>
              <w:t> </w:t>
            </w:r>
          </w:p>
        </w:tc>
        <w:tc>
          <w:tcPr>
            <w:tcW w:w="3590" w:type="dxa"/>
            <w:tcBorders>
              <w:bottom w:val="single" w:sz="12" w:space="0" w:color="000000"/>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Name of each exchange on which registered</w:t>
            </w:r>
          </w:p>
        </w:tc>
      </w:tr>
      <w:tr>
        <w:trPr/>
        <w:tc>
          <w:tcPr>
            <w:tcW w:w="2675" w:type="dxa"/>
            <w:tcBorders/>
            <w:tcMar>
              <w:bottom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Common Stock, $.001 Par Value</w:t>
            </w:r>
          </w:p>
        </w:tc>
        <w:tc>
          <w:tcPr>
            <w:tcW w:w="60" w:type="dxa"/>
            <w:tcBorders/>
            <w:tcMar>
              <w:bottom w:w="0" w:type="dxa"/>
            </w:tcMar>
            <w:vAlign w:val="center"/>
          </w:tcPr>
          <w:p>
            <w:pPr>
              <w:pStyle w:val="TableContents"/>
              <w:bidi w:val="0"/>
              <w:spacing w:before="0" w:after="283"/>
              <w:jc w:val="left"/>
              <w:rPr/>
            </w:pPr>
            <w:r>
              <w:rPr/>
              <w:t> </w:t>
            </w:r>
          </w:p>
        </w:tc>
        <w:tc>
          <w:tcPr>
            <w:tcW w:w="1310" w:type="dxa"/>
            <w:tcBorders/>
            <w:tcMar>
              <w:bottom w:w="0" w:type="dxa"/>
            </w:tcMar>
            <w:vAlign w:val="center"/>
          </w:tcPr>
          <w:p>
            <w:pPr>
              <w:pStyle w:val="TableContents"/>
              <w:bidi w:val="0"/>
              <w:spacing w:before="0" w:after="0"/>
              <w:jc w:val="center"/>
              <w:rPr>
                <w:color w:val="000000"/>
              </w:rPr>
            </w:pPr>
            <w:r>
              <w:rPr>
                <w:color w:val="000000"/>
              </w:rPr>
              <w:t>“</w:t>
            </w:r>
            <w:r>
              <w:rPr>
                <w:rFonts w:ascii="Times New Roman" w:hAnsi="Times New Roman"/>
                <w:color w:val="000000"/>
                <w:sz w:val="20"/>
              </w:rPr>
              <w:t>IONS”</w:t>
            </w:r>
          </w:p>
        </w:tc>
        <w:tc>
          <w:tcPr>
            <w:tcW w:w="60" w:type="dxa"/>
            <w:tcBorders/>
            <w:tcMar>
              <w:bottom w:w="0" w:type="dxa"/>
            </w:tcMar>
            <w:vAlign w:val="center"/>
          </w:tcPr>
          <w:p>
            <w:pPr>
              <w:pStyle w:val="TableContents"/>
              <w:bidi w:val="0"/>
              <w:spacing w:before="0" w:after="283"/>
              <w:jc w:val="left"/>
              <w:rPr/>
            </w:pPr>
            <w:r>
              <w:rPr/>
              <w:t> </w:t>
            </w:r>
          </w:p>
        </w:tc>
        <w:tc>
          <w:tcPr>
            <w:tcW w:w="3590" w:type="dxa"/>
            <w:tcBorders/>
            <w:tcMar>
              <w:bottom w:w="0" w:type="dxa"/>
            </w:tcMar>
            <w:vAlign w:val="center"/>
          </w:tcPr>
          <w:p>
            <w:pPr>
              <w:pStyle w:val="TableContents"/>
              <w:widowControl/>
              <w:bidi w:val="0"/>
              <w:spacing w:before="0" w:after="0"/>
              <w:ind w:left="0" w:right="0" w:hanging="0"/>
              <w:jc w:val="center"/>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The Nasdaq Stock Market, LLC</w:t>
            </w:r>
          </w:p>
        </w:tc>
      </w:tr>
    </w:tbl>
    <w:p>
      <w:pPr>
        <w:pStyle w:val="TextBody"/>
        <w:bidi w:val="0"/>
        <w:spacing w:before="0" w:after="0"/>
        <w:jc w:val="both"/>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Indicate by check mark whether the registrant is an emerging growth company as defined in Rule 405 of the Securities Act of 1933 (Section 230.405 of this chapter) or Rule 12b-2 of the Securities Exchange Act of 1934 (Section 240.12b-2 of this chapter).</w:t>
      </w:r>
    </w:p>
    <w:p>
      <w:pPr>
        <w:pStyle w:val="TextBody"/>
        <w:bidi w:val="0"/>
        <w:spacing w:before="0" w:after="0"/>
        <w:jc w:val="right"/>
        <w:rPr>
          <w:rFonts w:ascii="Times New Roman" w:hAnsi="Times New Roman"/>
          <w:color w:val="000000"/>
          <w:sz w:val="20"/>
          <w:shd w:fill="FFFFFF" w:val="clear"/>
        </w:rPr>
      </w:pPr>
      <w:r>
        <w:rPr>
          <w:rFonts w:ascii="Times New Roman" w:hAnsi="Times New Roman"/>
          <w:color w:val="000000"/>
          <w:sz w:val="20"/>
          <w:shd w:fill="FFFFFF" w:val="clear"/>
        </w:rPr>
        <w:t xml:space="preserve">Emerging growth company                </w:t>
      </w:r>
      <w:bookmarkStart w:id="0" w:name="z_Hlk11148519"/>
      <w:bookmarkEnd w:id="0"/>
      <w:r>
        <w:rPr>
          <w:rFonts w:ascii="Times New Roman" w:hAnsi="Times New Roman"/>
          <w:color w:val="000000"/>
          <w:sz w:val="20"/>
          <w:shd w:fill="FFFFFF" w:val="clear"/>
        </w:rPr>
        <w:t>☐</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color w:val="000000"/>
          <w:shd w:fill="FFFFFF" w:val="clear"/>
        </w:rPr>
      </w:pPr>
      <w:r>
        <w:rPr>
          <w:color w:val="000000"/>
          <w:shd w:fill="FFFFFF" w:val="clear"/>
        </w:rPr>
        <w:t xml:space="preserve">  </w:t>
      </w:r>
    </w:p>
    <w:p>
      <w:pPr>
        <w:pStyle w:val="HorizontalLine"/>
        <w:bidi w:val="0"/>
        <w:jc w:val="left"/>
        <w:rPr/>
      </w:pPr>
      <w:r>
        <w:rPr/>
      </w:r>
    </w:p>
    <w:p>
      <w:pPr>
        <w:pStyle w:val="HorizontalLine"/>
        <w:bidi w:val="0"/>
        <w:spacing w:before="200" w:after="200"/>
        <w:jc w:val="left"/>
        <w:rPr/>
      </w:pPr>
      <w:r>
        <w:rPr/>
      </w:r>
    </w:p>
    <w:tbl>
      <w:tblPr>
        <w:tblW w:w="3070" w:type="dxa"/>
        <w:jc w:val="left"/>
        <w:tblInd w:w="0" w:type="dxa"/>
        <w:tblLayout w:type="fixed"/>
        <w:tblCellMar>
          <w:top w:w="0" w:type="dxa"/>
          <w:left w:w="0" w:type="dxa"/>
          <w:bottom w:w="0" w:type="dxa"/>
          <w:right w:w="0" w:type="dxa"/>
        </w:tblCellMar>
      </w:tblPr>
      <w:tblGrid>
        <w:gridCol w:w="830"/>
        <w:gridCol w:w="2240"/>
      </w:tblGrid>
      <w:tr>
        <w:trPr/>
        <w:tc>
          <w:tcPr>
            <w:tcW w:w="830" w:type="dxa"/>
            <w:tcBorders/>
            <w:vAlign w:val="center"/>
          </w:tcPr>
          <w:p>
            <w:pPr>
              <w:pStyle w:val="TableContents"/>
              <w:bidi w:val="0"/>
              <w:spacing w:before="0" w:after="283"/>
              <w:jc w:val="left"/>
              <w:rPr>
                <w:rFonts w:ascii="Times New Roman" w:hAnsi="Times New Roman"/>
                <w:b/>
                <w:sz w:val="20"/>
              </w:rPr>
            </w:pPr>
            <w:r>
              <w:rPr>
                <w:rFonts w:ascii="Times New Roman" w:hAnsi="Times New Roman"/>
                <w:b/>
                <w:sz w:val="20"/>
              </w:rPr>
              <w:t>Item 7.01</w:t>
            </w:r>
          </w:p>
        </w:tc>
        <w:tc>
          <w:tcPr>
            <w:tcW w:w="2240" w:type="dxa"/>
            <w:tcBorders/>
            <w:vAlign w:val="center"/>
          </w:tcPr>
          <w:p>
            <w:pPr>
              <w:pStyle w:val="TableContents"/>
              <w:bidi w:val="0"/>
              <w:spacing w:before="0" w:after="0"/>
              <w:jc w:val="both"/>
              <w:rPr>
                <w:rFonts w:ascii="Times New Roman" w:hAnsi="Times New Roman"/>
                <w:b/>
                <w:sz w:val="20"/>
              </w:rPr>
            </w:pPr>
            <w:r>
              <w:rPr>
                <w:rFonts w:ascii="Times New Roman" w:hAnsi="Times New Roman"/>
                <w:b/>
                <w:sz w:val="20"/>
              </w:rPr>
              <w:t>Regulation FD Disclosure.</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On October 20, 2026, Ionis Pharmaceuticals, Inc.  (“</w:t>
      </w:r>
      <w:r>
        <w:rPr>
          <w:rFonts w:ascii="Times New Roman" w:hAnsi="Times New Roman"/>
          <w:b/>
          <w:i/>
          <w:color w:val="000000"/>
          <w:sz w:val="20"/>
          <w:shd w:fill="FFFFFF" w:val="clear"/>
        </w:rPr>
        <w:t>Ionis</w:t>
      </w:r>
      <w:r>
        <w:rPr>
          <w:rFonts w:ascii="Times New Roman" w:hAnsi="Times New Roman"/>
          <w:color w:val="000000"/>
          <w:sz w:val="20"/>
          <w:shd w:fill="FFFFFF" w:val="clear"/>
        </w:rPr>
        <w:t xml:space="preserve">”) issued a press release reporting that its partner, GSK, announced that </w:t>
      </w:r>
      <w:bookmarkStart w:id="1" w:name="z_Hlk233189367"/>
      <w:bookmarkEnd w:id="1"/>
      <w:r>
        <w:rPr>
          <w:rFonts w:ascii="Times New Roman" w:hAnsi="Times New Roman"/>
          <w:color w:val="000000"/>
          <w:sz w:val="20"/>
          <w:shd w:fill="FFFFFF" w:val="clear"/>
        </w:rPr>
        <w:t>the U.S. Food and Drug Administration (“</w:t>
      </w:r>
      <w:r>
        <w:rPr>
          <w:rFonts w:ascii="Times New Roman" w:hAnsi="Times New Roman"/>
          <w:b/>
          <w:i/>
          <w:color w:val="000000"/>
          <w:sz w:val="20"/>
          <w:shd w:fill="FFFFFF" w:val="clear"/>
        </w:rPr>
        <w:t>FDA</w:t>
      </w:r>
      <w:r>
        <w:rPr>
          <w:rFonts w:ascii="Times New Roman" w:hAnsi="Times New Roman"/>
          <w:color w:val="000000"/>
          <w:sz w:val="20"/>
          <w:shd w:fill="FFFFFF" w:val="clear"/>
        </w:rPr>
        <w:t>”) has approved HIBSAGO™ (bepirovirsen) for the treatment of chronic hepatitis B (“</w:t>
      </w:r>
      <w:r>
        <w:rPr>
          <w:rFonts w:ascii="Times New Roman" w:hAnsi="Times New Roman"/>
          <w:b/>
          <w:i/>
          <w:color w:val="000000"/>
          <w:sz w:val="20"/>
          <w:shd w:fill="FFFFFF" w:val="clear"/>
        </w:rPr>
        <w:t>CHB</w:t>
      </w:r>
      <w:r>
        <w:rPr>
          <w:rFonts w:ascii="Times New Roman" w:hAnsi="Times New Roman"/>
          <w:color w:val="000000"/>
          <w:sz w:val="20"/>
          <w:shd w:fill="FFFFFF" w:val="clear"/>
        </w:rPr>
        <w:t>”) virus infection in combination with nucleos(t)ide analogue reverse transcriptase inhibitor (“</w:t>
      </w:r>
      <w:r>
        <w:rPr>
          <w:rFonts w:ascii="Times New Roman" w:hAnsi="Times New Roman"/>
          <w:b/>
          <w:i/>
          <w:color w:val="000000"/>
          <w:sz w:val="20"/>
          <w:shd w:fill="FFFFFF" w:val="clear"/>
        </w:rPr>
        <w:t>NrtI</w:t>
      </w:r>
      <w:r>
        <w:rPr>
          <w:rFonts w:ascii="Times New Roman" w:hAnsi="Times New Roman"/>
          <w:color w:val="000000"/>
          <w:sz w:val="20"/>
          <w:shd w:fill="FFFFFF" w:val="clear"/>
        </w:rPr>
        <w:t>”) therapy in adult patients without cirrhosis, receiving Nrtl therapy for at least 6 months, who have suppressed HBV deoxyribonucleic acid (“</w:t>
      </w:r>
      <w:r>
        <w:rPr>
          <w:rFonts w:ascii="Times New Roman" w:hAnsi="Times New Roman"/>
          <w:b/>
          <w:i/>
          <w:color w:val="000000"/>
          <w:sz w:val="20"/>
          <w:shd w:fill="FFFFFF" w:val="clear"/>
        </w:rPr>
        <w:t>DNA</w:t>
      </w:r>
      <w:r>
        <w:rPr>
          <w:rFonts w:ascii="Times New Roman" w:hAnsi="Times New Roman"/>
          <w:color w:val="000000"/>
          <w:sz w:val="20"/>
          <w:shd w:fill="FFFFFF" w:val="clear"/>
        </w:rPr>
        <w:t>”), and with hepatitis B virus (“</w:t>
      </w:r>
      <w:r>
        <w:rPr>
          <w:rFonts w:ascii="Times New Roman" w:hAnsi="Times New Roman"/>
          <w:b/>
          <w:i/>
          <w:color w:val="000000"/>
          <w:sz w:val="20"/>
          <w:shd w:fill="FFFFFF" w:val="clear"/>
        </w:rPr>
        <w:t>HBV</w:t>
      </w:r>
      <w:r>
        <w:rPr>
          <w:rFonts w:ascii="Times New Roman" w:hAnsi="Times New Roman"/>
          <w:color w:val="000000"/>
          <w:sz w:val="20"/>
          <w:shd w:fill="FFFFFF" w:val="clear"/>
        </w:rPr>
        <w:t>”) surface antigen (“</w:t>
      </w:r>
      <w:r>
        <w:rPr>
          <w:rFonts w:ascii="Times New Roman" w:hAnsi="Times New Roman"/>
          <w:b/>
          <w:i/>
          <w:color w:val="000000"/>
          <w:sz w:val="20"/>
          <w:shd w:fill="FFFFFF" w:val="clear"/>
        </w:rPr>
        <w:t>HBsAg</w:t>
      </w:r>
      <w:r>
        <w:rPr>
          <w:rFonts w:ascii="Times New Roman" w:hAnsi="Times New Roman"/>
          <w:color w:val="000000"/>
          <w:sz w:val="20"/>
          <w:shd w:fill="FFFFFF" w:val="clear"/>
        </w:rPr>
        <w:t>”) levels ≤3000 IU/ml, as determined by an FDA-authorized test. A copy of the press release is furnished as Exhibit 99.1 to this Current Report on Form 8-K.</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information in this Item 7.01 and the exhibit attached hereto shall not be deemed “filed” for purposes of Section 18 of the Securities Exchange Act of 1934, as amended (the “</w:t>
      </w:r>
      <w:r>
        <w:rPr>
          <w:rFonts w:ascii="Times New Roman" w:hAnsi="Times New Roman"/>
          <w:b/>
          <w:i/>
          <w:color w:val="000000"/>
          <w:sz w:val="20"/>
          <w:shd w:fill="FFFFFF" w:val="clear"/>
        </w:rPr>
        <w:t>Exchange Act</w:t>
      </w:r>
      <w:r>
        <w:rPr>
          <w:rFonts w:ascii="Times New Roman" w:hAnsi="Times New Roman"/>
          <w:color w:val="000000"/>
          <w:sz w:val="20"/>
          <w:shd w:fill="FFFFFF" w:val="clear"/>
        </w:rPr>
        <w:t>”), or otherwise subject to the liabilities of that section, nor shall it be deemed incorporated by reference in any filing under the Securities Act of 1933, as amended, or the Exchange Act, regardless of any general incorporation language in such filing.</w:t>
      </w:r>
    </w:p>
    <w:p>
      <w:pPr>
        <w:pStyle w:val="TextBody"/>
        <w:bidi w:val="0"/>
        <w:spacing w:before="0" w:after="0"/>
        <w:jc w:val="left"/>
        <w:rPr>
          <w:color w:val="000000"/>
          <w:shd w:fill="FFFFFF" w:val="clear"/>
        </w:rPr>
      </w:pPr>
      <w:r>
        <w:rPr>
          <w:color w:val="000000"/>
          <w:shd w:fill="FFFFFF" w:val="clear"/>
        </w:rPr>
        <w:t> </w:t>
      </w:r>
    </w:p>
    <w:tbl>
      <w:tblPr>
        <w:tblW w:w="2020" w:type="dxa"/>
        <w:jc w:val="left"/>
        <w:tblInd w:w="0" w:type="dxa"/>
        <w:tblLayout w:type="fixed"/>
        <w:tblCellMar>
          <w:top w:w="0" w:type="dxa"/>
          <w:left w:w="0" w:type="dxa"/>
          <w:bottom w:w="0" w:type="dxa"/>
          <w:right w:w="0" w:type="dxa"/>
        </w:tblCellMar>
      </w:tblPr>
      <w:tblGrid>
        <w:gridCol w:w="830"/>
        <w:gridCol w:w="1190"/>
      </w:tblGrid>
      <w:tr>
        <w:trPr/>
        <w:tc>
          <w:tcPr>
            <w:tcW w:w="830" w:type="dxa"/>
            <w:tcBorders/>
            <w:vAlign w:val="center"/>
          </w:tcPr>
          <w:p>
            <w:pPr>
              <w:pStyle w:val="TableContents"/>
              <w:bidi w:val="0"/>
              <w:spacing w:before="0" w:after="283"/>
              <w:jc w:val="left"/>
              <w:rPr>
                <w:rFonts w:ascii="Times New Roman" w:hAnsi="Times New Roman"/>
                <w:b/>
                <w:sz w:val="20"/>
              </w:rPr>
            </w:pPr>
            <w:r>
              <w:rPr>
                <w:rFonts w:ascii="Times New Roman" w:hAnsi="Times New Roman"/>
                <w:b/>
                <w:sz w:val="20"/>
              </w:rPr>
              <w:t>Item 8.01</w:t>
            </w:r>
          </w:p>
        </w:tc>
        <w:tc>
          <w:tcPr>
            <w:tcW w:w="1190" w:type="dxa"/>
            <w:tcBorders/>
            <w:vAlign w:val="center"/>
          </w:tcPr>
          <w:p>
            <w:pPr>
              <w:pStyle w:val="TableContents"/>
              <w:bidi w:val="0"/>
              <w:spacing w:before="0" w:after="0"/>
              <w:jc w:val="both"/>
              <w:rPr>
                <w:rFonts w:ascii="Times New Roman" w:hAnsi="Times New Roman"/>
                <w:b/>
                <w:sz w:val="20"/>
              </w:rPr>
            </w:pPr>
            <w:r>
              <w:rPr>
                <w:rFonts w:ascii="Times New Roman" w:hAnsi="Times New Roman"/>
                <w:b/>
                <w:sz w:val="20"/>
              </w:rPr>
              <w:t>Other Events.</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bookmarkStart w:id="2" w:name="z_Hlk206488672"/>
      <w:bookmarkEnd w:id="2"/>
      <w:r>
        <w:rPr>
          <w:rFonts w:ascii="Times New Roman" w:hAnsi="Times New Roman"/>
          <w:color w:val="000000"/>
          <w:sz w:val="20"/>
          <w:shd w:fill="FFFFFF" w:val="clear"/>
        </w:rPr>
        <w:t>On October 20, 2026, Ionis reported that its partner, GSK, announced that the FDA has approved HIBSAGO™ (bepirovirsen) for the treatment of CHB virus infection in combination with NrtI therapy in adult patients without cirrhosis, receiving Nrtl therapy for at least 6 months, who have suppressed HBV DNA, and with HBsAg levels ≤3000 IU/ml, as determined by an FDA-authorized test. GSK licensed bepirovirsen from Ionis and collaborated with them on its development.</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Bepirovirsen is a first in class RNA-targeted medicine that offers unprecedented functional cure rates compared to current standard of care. The approval was granted under FDA priority review and Breakthrough Therapy Designation, recognizing significant improvement of bepirovirsen and nucleos(t)ide analogue therapy over existing standard of care.</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approval was supported by results from the Phase 3 B-Well trials showing functional cure rates of 19% in adults with ≤3000 IU/ml HBsAg, compared to current standard of care alone, which typically achieves less than 1% functional cure rate after one year of treatment. Functional cure occurs when HBV DNA and HBsAg are undetectable for at least 24 weeks after stopping all treatment, indicating the disease is controlled by the immune system without medication.</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Quantitative surface antigen testing will support the diagnosis and identification of patients suitable for treatment with bepirovirsen who have baseline HBsAg levels ≤3000 IU/ml. Several tests are available, including a recently authorized FDA test.</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GSK continues to advance regulatory submissions for bepirovirsen across multiple geographies with key regulatory decisions anticipated in the coming months.</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GSK licensed bepirovirsen from Ionis in 2019 under a collaborative development and licensing agreement. Under the terms of the agreement, Ionis has received an upfront payment, license fee and development and regulatory milestone payments and is eligible to receive additional regulatory and sales milestone payments as well as tiered royalties of 10-12% on net sales of bepirovirsen.</w:t>
      </w:r>
    </w:p>
    <w:p>
      <w:pPr>
        <w:pStyle w:val="TextBody"/>
        <w:bidi w:val="0"/>
        <w:spacing w:before="0" w:after="0"/>
        <w:jc w:val="left"/>
        <w:rPr>
          <w:sz w:val="20"/>
        </w:rPr>
      </w:pPr>
      <w:r>
        <w:rPr>
          <w:sz w:val="20"/>
        </w:rPr>
      </w:r>
    </w:p>
    <w:p>
      <w:pPr>
        <w:pStyle w:val="HorizontalLine"/>
        <w:bidi w:val="0"/>
        <w:spacing w:before="200" w:after="200"/>
        <w:jc w:val="left"/>
        <w:rPr/>
      </w:pPr>
      <w:r>
        <w:rPr/>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Forward-Looking Statements</w:t>
      </w:r>
    </w:p>
    <w:p>
      <w:pPr>
        <w:pStyle w:val="TextBody"/>
        <w:bidi w:val="0"/>
        <w:spacing w:before="0" w:after="0"/>
        <w:jc w:val="left"/>
        <w:rPr>
          <w:color w:val="000000"/>
          <w:shd w:fill="FFFFFF" w:val="clear"/>
        </w:rPr>
      </w:pPr>
      <w:r>
        <w:rPr>
          <w:color w:val="000000"/>
          <w:shd w:fill="FFFFFF" w:val="clear"/>
        </w:rPr>
        <w:t> </w:t>
      </w:r>
    </w:p>
    <w:p>
      <w:pPr>
        <w:pStyle w:val="TextBody"/>
        <w:bidi w:val="0"/>
        <w:jc w:val="both"/>
        <w:rPr>
          <w:rFonts w:ascii="Times New Roman" w:hAnsi="Times New Roman"/>
          <w:color w:val="000000"/>
          <w:sz w:val="20"/>
          <w:shd w:fill="FFFFFF" w:val="clear"/>
        </w:rPr>
      </w:pPr>
      <w:r>
        <w:rPr>
          <w:rFonts w:ascii="Times New Roman" w:hAnsi="Times New Roman"/>
          <w:color w:val="000000"/>
          <w:sz w:val="20"/>
          <w:shd w:fill="FFFFFF" w:val="clear"/>
        </w:rPr>
        <w:t>This report includes forward-looking statements regarding Ionis’ business and the therapeutic and commercial potential of bepirovirsen, our commercial medicines, additional medicines in development and technologies and our expectations regarding development and regulatory milestones. Any statement describing Ionis’ goals, expectations, financial or other projections, intentions or beliefs is a forward-looking statement and should be considered an at-risk statement. Such statements are subject to certain risks and uncertainties including those inherent in the process of discovering, developing and commercializing medicines that are safe and effective for use as human therapeutics, and in the endeavor of building a business around such medicines. Ionis’ forward-looking statements also involve assumptions that, if they never materialize or prove correct, could cause its results to differ materially from those expressed or implied by such forward-looking statements. Although Ionis’ forward-looking statements reflect the good faith judgment of its management, these statements are based only on facts and factors currently known by Ionis. Except as required by law, we undertake no obligation to update any forward-looking statements for any reason. As a result, you are cautioned not to rely on these forward-looking statements. These and other risks concerning Ionis’ programs are described in additional detail in Ionis’ annual report on Form 10-K for the year ended December 31, 2025 and most recent Form 10-Q, which are on file with the Securities and Exchange Commission. Copies of these and other documents are available from Ionis.</w:t>
      </w:r>
    </w:p>
    <w:tbl>
      <w:tblPr>
        <w:tblW w:w="3790" w:type="dxa"/>
        <w:jc w:val="left"/>
        <w:tblInd w:w="0" w:type="dxa"/>
        <w:tblLayout w:type="fixed"/>
        <w:tblCellMar>
          <w:top w:w="0" w:type="dxa"/>
          <w:left w:w="0" w:type="dxa"/>
          <w:bottom w:w="0" w:type="dxa"/>
          <w:right w:w="0" w:type="dxa"/>
        </w:tblCellMar>
      </w:tblPr>
      <w:tblGrid>
        <w:gridCol w:w="830"/>
        <w:gridCol w:w="2960"/>
      </w:tblGrid>
      <w:tr>
        <w:trPr/>
        <w:tc>
          <w:tcPr>
            <w:tcW w:w="830" w:type="dxa"/>
            <w:tcBorders/>
            <w:vAlign w:val="center"/>
          </w:tcPr>
          <w:p>
            <w:pPr>
              <w:pStyle w:val="TableContents"/>
              <w:bidi w:val="0"/>
              <w:spacing w:before="0" w:after="0"/>
              <w:jc w:val="both"/>
              <w:rPr>
                <w:rFonts w:ascii="Times New Roman" w:hAnsi="Times New Roman"/>
                <w:b/>
                <w:sz w:val="20"/>
              </w:rPr>
            </w:pPr>
            <w:r>
              <w:rPr>
                <w:rFonts w:ascii="Times New Roman" w:hAnsi="Times New Roman"/>
                <w:b/>
                <w:sz w:val="20"/>
              </w:rPr>
              <w:t>Item 9.01</w:t>
            </w:r>
          </w:p>
        </w:tc>
        <w:tc>
          <w:tcPr>
            <w:tcW w:w="2960" w:type="dxa"/>
            <w:tcBorders/>
            <w:vAlign w:val="center"/>
          </w:tcPr>
          <w:p>
            <w:pPr>
              <w:pStyle w:val="TableContents"/>
              <w:bidi w:val="0"/>
              <w:spacing w:before="0" w:after="0"/>
              <w:jc w:val="both"/>
              <w:rPr>
                <w:rFonts w:ascii="Times New Roman" w:hAnsi="Times New Roman"/>
                <w:b/>
                <w:sz w:val="20"/>
              </w:rPr>
            </w:pPr>
            <w:r>
              <w:rPr>
                <w:rFonts w:ascii="Times New Roman" w:hAnsi="Times New Roman"/>
                <w:b/>
                <w:sz w:val="20"/>
              </w:rPr>
              <w:t>Financial Statements and Exhibits.</w:t>
            </w:r>
          </w:p>
        </w:tc>
      </w:tr>
    </w:tbl>
    <w:p>
      <w:pPr>
        <w:pStyle w:val="TextBody"/>
        <w:bidi w:val="0"/>
        <w:spacing w:before="0" w:after="0"/>
        <w:jc w:val="left"/>
        <w:rPr/>
      </w:pPr>
      <w:r>
        <w:rPr/>
      </w:r>
    </w:p>
    <w:tbl>
      <w:tblPr>
        <w:tblW w:w="1030" w:type="dxa"/>
        <w:jc w:val="left"/>
        <w:tblInd w:w="0" w:type="dxa"/>
        <w:tblLayout w:type="fixed"/>
        <w:tblCellMar>
          <w:top w:w="0" w:type="dxa"/>
          <w:left w:w="0" w:type="dxa"/>
          <w:bottom w:w="0" w:type="dxa"/>
          <w:right w:w="0" w:type="dxa"/>
        </w:tblCellMar>
      </w:tblPr>
      <w:tblGrid>
        <w:gridCol w:w="260"/>
        <w:gridCol w:w="770"/>
      </w:tblGrid>
      <w:tr>
        <w:trPr/>
        <w:tc>
          <w:tcPr>
            <w:tcW w:w="2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(d)</w:t>
            </w:r>
          </w:p>
        </w:tc>
        <w:tc>
          <w:tcPr>
            <w:tcW w:w="77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Exhibits.</w:t>
            </w:r>
          </w:p>
        </w:tc>
      </w:tr>
    </w:tbl>
    <w:p>
      <w:pPr>
        <w:pStyle w:val="TextBody"/>
        <w:bidi w:val="0"/>
        <w:spacing w:before="0" w:after="0"/>
        <w:jc w:val="left"/>
        <w:rPr>
          <w:color w:val="000000"/>
          <w:shd w:fill="FFFFFF" w:val="clear"/>
        </w:rPr>
      </w:pPr>
      <w:r>
        <w:rPr>
          <w:color w:val="000000"/>
          <w:shd w:fill="FFFFFF" w:val="clear"/>
        </w:rPr>
        <w:t> </w:t>
      </w:r>
    </w:p>
    <w:tbl>
      <w:tblPr>
        <w:tblW w:w="7555" w:type="dxa"/>
        <w:jc w:val="left"/>
        <w:tblInd w:w="0" w:type="dxa"/>
        <w:tblLayout w:type="fixed"/>
        <w:tblCellMar>
          <w:top w:w="0" w:type="dxa"/>
          <w:left w:w="0" w:type="dxa"/>
          <w:bottom w:w="0" w:type="dxa"/>
          <w:right w:w="0" w:type="dxa"/>
        </w:tblCellMar>
      </w:tblPr>
      <w:tblGrid>
        <w:gridCol w:w="980"/>
        <w:gridCol w:w="60"/>
        <w:gridCol w:w="6515"/>
      </w:tblGrid>
      <w:tr>
        <w:trPr/>
        <w:tc>
          <w:tcPr>
            <w:tcW w:w="980" w:type="dxa"/>
            <w:tcBorders/>
            <w:vAlign w:val="center"/>
          </w:tcPr>
          <w:p>
            <w:pPr>
              <w:pStyle w:val="TableContents"/>
              <w:bidi w:val="0"/>
              <w:spacing w:before="0" w:after="0"/>
              <w:jc w:val="center"/>
              <w:rPr>
                <w:rFonts w:ascii="Times New Roman" w:hAnsi="Times New Roman"/>
                <w:b/>
                <w:sz w:val="20"/>
                <w:u w:val="single"/>
              </w:rPr>
            </w:pPr>
            <w:r>
              <w:rPr>
                <w:rFonts w:ascii="Times New Roman" w:hAnsi="Times New Roman"/>
                <w:b/>
                <w:sz w:val="20"/>
                <w:u w:val="single"/>
              </w:rPr>
              <w:t>Exhibit No.</w:t>
            </w:r>
          </w:p>
        </w:tc>
        <w:tc>
          <w:tcPr>
            <w:tcW w:w="60" w:type="dxa"/>
            <w:tcBorders/>
            <w:vAlign w:val="center"/>
          </w:tcPr>
          <w:p>
            <w:pPr>
              <w:pStyle w:val="TableContents"/>
              <w:bidi w:val="0"/>
              <w:spacing w:before="0" w:after="283"/>
              <w:jc w:val="left"/>
              <w:rPr/>
            </w:pPr>
            <w:r>
              <w:rPr/>
              <w:t> </w:t>
            </w:r>
          </w:p>
        </w:tc>
        <w:tc>
          <w:tcPr>
            <w:tcW w:w="6515" w:type="dxa"/>
            <w:tcBorders/>
            <w:vAlign w:val="center"/>
          </w:tcPr>
          <w:p>
            <w:pPr>
              <w:pStyle w:val="TableContents"/>
              <w:bidi w:val="0"/>
              <w:spacing w:before="0" w:after="0"/>
              <w:jc w:val="left"/>
              <w:rPr>
                <w:rFonts w:ascii="Times New Roman" w:hAnsi="Times New Roman"/>
                <w:b/>
                <w:sz w:val="20"/>
                <w:u w:val="single"/>
              </w:rPr>
            </w:pPr>
            <w:r>
              <w:rPr>
                <w:rFonts w:ascii="Times New Roman" w:hAnsi="Times New Roman"/>
                <w:b/>
                <w:sz w:val="20"/>
                <w:u w:val="single"/>
              </w:rPr>
              <w:t>Description</w:t>
            </w:r>
          </w:p>
        </w:tc>
      </w:tr>
      <w:tr>
        <w:trPr/>
        <w:tc>
          <w:tcPr>
            <w:tcW w:w="980" w:type="dxa"/>
            <w:tcBorders/>
            <w:vAlign w:val="center"/>
          </w:tcPr>
          <w:p>
            <w:pPr>
              <w:pStyle w:val="TableContents"/>
              <w:bidi w:val="0"/>
              <w:spacing w:before="0" w:after="0"/>
              <w:jc w:val="center"/>
              <w:rPr/>
            </w:pPr>
            <w:hyperlink w:anchor="ef20084189_ex99-1.htm">
              <w:r>
                <w:rPr>
                  <w:rStyle w:val="InternetLink"/>
                  <w:rFonts w:ascii="Times New Roman" w:hAnsi="Times New Roman"/>
                  <w:sz w:val="20"/>
                </w:rPr>
                <w:t>99.1</w:t>
              </w:r>
            </w:hyperlink>
          </w:p>
        </w:tc>
        <w:tc>
          <w:tcPr>
            <w:tcW w:w="60" w:type="dxa"/>
            <w:tcBorders/>
            <w:vAlign w:val="center"/>
          </w:tcPr>
          <w:p>
            <w:pPr>
              <w:pStyle w:val="TableContents"/>
              <w:bidi w:val="0"/>
              <w:spacing w:before="0" w:after="283"/>
              <w:jc w:val="left"/>
              <w:rPr/>
            </w:pPr>
            <w:r>
              <w:rPr/>
              <w:t> </w:t>
            </w:r>
          </w:p>
        </w:tc>
        <w:tc>
          <w:tcPr>
            <w:tcW w:w="65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Press Release dated October 20, 2026.</w:t>
            </w:r>
          </w:p>
        </w:tc>
      </w:tr>
      <w:tr>
        <w:trPr/>
        <w:tc>
          <w:tcPr>
            <w:tcW w:w="980" w:type="dxa"/>
            <w:tcBorders/>
            <w:vAlign w:val="center"/>
          </w:tcPr>
          <w:p>
            <w:pPr>
              <w:pStyle w:val="TableContents"/>
              <w:bidi w:val="0"/>
              <w:spacing w:before="0" w:after="283"/>
              <w:jc w:val="left"/>
              <w:rPr/>
            </w:pPr>
            <w:r>
              <w:rPr/>
            </w:r>
          </w:p>
        </w:tc>
        <w:tc>
          <w:tcPr>
            <w:tcW w:w="60" w:type="dxa"/>
            <w:tcBorders/>
            <w:vAlign w:val="center"/>
          </w:tcPr>
          <w:p>
            <w:pPr>
              <w:pStyle w:val="TableContents"/>
              <w:bidi w:val="0"/>
              <w:spacing w:before="0" w:after="283"/>
              <w:jc w:val="left"/>
              <w:rPr/>
            </w:pPr>
            <w:r>
              <w:rPr/>
              <w:t> </w:t>
            </w:r>
          </w:p>
        </w:tc>
        <w:tc>
          <w:tcPr>
            <w:tcW w:w="6515" w:type="dxa"/>
            <w:tcBorders/>
            <w:vAlign w:val="center"/>
          </w:tcPr>
          <w:p>
            <w:pPr>
              <w:pStyle w:val="TableContents"/>
              <w:bidi w:val="0"/>
              <w:spacing w:before="0" w:after="283"/>
              <w:jc w:val="left"/>
              <w:rPr/>
            </w:pPr>
            <w:r>
              <w:rPr/>
            </w:r>
          </w:p>
        </w:tc>
      </w:tr>
      <w:tr>
        <w:trPr/>
        <w:tc>
          <w:tcPr>
            <w:tcW w:w="980"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104</w:t>
            </w:r>
          </w:p>
        </w:tc>
        <w:tc>
          <w:tcPr>
            <w:tcW w:w="60" w:type="dxa"/>
            <w:tcBorders/>
            <w:vAlign w:val="center"/>
          </w:tcPr>
          <w:p>
            <w:pPr>
              <w:pStyle w:val="TableContents"/>
              <w:bidi w:val="0"/>
              <w:spacing w:before="0" w:after="283"/>
              <w:jc w:val="left"/>
              <w:rPr/>
            </w:pPr>
            <w:r>
              <w:rPr/>
              <w:t> </w:t>
            </w:r>
          </w:p>
        </w:tc>
        <w:tc>
          <w:tcPr>
            <w:tcW w:w="65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Cover Page Interactive Data File (embedded within the Inline XBRL document).</w:t>
            </w:r>
          </w:p>
        </w:tc>
      </w:tr>
    </w:tbl>
    <w:p>
      <w:pPr>
        <w:pStyle w:val="TextBody"/>
        <w:bidi w:val="0"/>
        <w:spacing w:before="0" w:after="0"/>
        <w:jc w:val="both"/>
        <w:rPr>
          <w:sz w:val="20"/>
        </w:rPr>
      </w:pPr>
      <w:r>
        <w:rPr>
          <w:sz w:val="20"/>
        </w:rPr>
      </w:r>
    </w:p>
    <w:p>
      <w:pPr>
        <w:pStyle w:val="HorizontalLine"/>
        <w:bidi w:val="0"/>
        <w:spacing w:before="200" w:after="200"/>
        <w:jc w:val="left"/>
        <w:rPr/>
      </w:pPr>
      <w:r>
        <w:rPr/>
      </w:r>
    </w:p>
    <w:p>
      <w:pPr>
        <w:pStyle w:val="TextBody"/>
        <w:bidi w:val="0"/>
        <w:spacing w:before="0" w:after="0"/>
        <w:jc w:val="center"/>
        <w:rPr>
          <w:rFonts w:ascii="Times New Roman" w:hAnsi="Times New Roman"/>
          <w:b/>
          <w:smallCaps/>
          <w:color w:val="000000"/>
          <w:sz w:val="20"/>
          <w:shd w:fill="FFFFFF" w:val="clear"/>
        </w:rPr>
      </w:pPr>
      <w:r>
        <w:rPr>
          <w:rFonts w:ascii="Times New Roman" w:hAnsi="Times New Roman"/>
          <w:b/>
          <w:smallCaps/>
          <w:color w:val="000000"/>
          <w:sz w:val="20"/>
          <w:shd w:fill="FFFFFF" w:val="clear"/>
        </w:rPr>
        <w:t>SIGNATURE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Pursuant to the requirements of the Securities Exchange Act of 1934, as amended, the registrant has duly caused this report to be signed on its behalf by the undersigned, thereunto duly authorized.</w:t>
      </w:r>
    </w:p>
    <w:p>
      <w:pPr>
        <w:pStyle w:val="TextBody"/>
        <w:bidi w:val="0"/>
        <w:spacing w:before="0" w:after="0"/>
        <w:jc w:val="left"/>
        <w:rPr>
          <w:color w:val="000000"/>
          <w:shd w:fill="FFFFFF" w:val="clear"/>
        </w:rPr>
      </w:pPr>
      <w:r>
        <w:rPr>
          <w:color w:val="000000"/>
          <w:shd w:fill="FFFFFF" w:val="clear"/>
        </w:rPr>
        <w:t> </w:t>
      </w:r>
    </w:p>
    <w:tbl>
      <w:tblPr>
        <w:tblW w:w="7830" w:type="dxa"/>
        <w:jc w:val="left"/>
        <w:tblInd w:w="0" w:type="dxa"/>
        <w:tblLayout w:type="fixed"/>
        <w:tblCellMar>
          <w:top w:w="0" w:type="dxa"/>
          <w:left w:w="0" w:type="dxa"/>
          <w:bottom w:w="0" w:type="dxa"/>
          <w:right w:w="0" w:type="dxa"/>
        </w:tblCellMar>
      </w:tblPr>
      <w:tblGrid>
        <w:gridCol w:w="2060"/>
        <w:gridCol w:w="320"/>
        <w:gridCol w:w="5450"/>
      </w:tblGrid>
      <w:tr>
        <w:trPr/>
        <w:tc>
          <w:tcPr>
            <w:tcW w:w="2060" w:type="dxa"/>
            <w:tcBorders/>
            <w:vAlign w:val="center"/>
          </w:tcPr>
          <w:p>
            <w:pPr>
              <w:pStyle w:val="TableContents"/>
              <w:bidi w:val="0"/>
              <w:spacing w:before="0" w:after="283"/>
              <w:jc w:val="left"/>
              <w:rPr/>
            </w:pPr>
            <w:r>
              <w:rPr/>
              <w:t> </w:t>
            </w:r>
          </w:p>
        </w:tc>
        <w:tc>
          <w:tcPr>
            <w:tcW w:w="5770" w:type="dxa"/>
            <w:gridSpan w:val="2"/>
            <w:tcBorders/>
            <w:vAlign w:val="center"/>
          </w:tcPr>
          <w:p>
            <w:pPr>
              <w:pStyle w:val="TableContents"/>
              <w:bidi w:val="0"/>
              <w:spacing w:before="0" w:after="0"/>
              <w:jc w:val="both"/>
              <w:rPr>
                <w:rFonts w:ascii="Times New Roman" w:hAnsi="Times New Roman"/>
                <w:b/>
                <w:smallCaps/>
                <w:sz w:val="20"/>
              </w:rPr>
            </w:pPr>
            <w:r>
              <w:rPr>
                <w:rFonts w:ascii="Times New Roman" w:hAnsi="Times New Roman"/>
                <w:b/>
                <w:smallCaps/>
                <w:sz w:val="20"/>
              </w:rPr>
              <w:t>Ionis Pharmaceuticals, Inc.</w:t>
            </w:r>
          </w:p>
        </w:tc>
      </w:tr>
      <w:tr>
        <w:trPr/>
        <w:tc>
          <w:tcPr>
            <w:tcW w:w="2060" w:type="dxa"/>
            <w:tcBorders/>
            <w:vAlign w:val="center"/>
          </w:tcPr>
          <w:p>
            <w:pPr>
              <w:pStyle w:val="TableContents"/>
              <w:bidi w:val="0"/>
              <w:spacing w:before="0" w:after="283"/>
              <w:jc w:val="left"/>
              <w:rPr/>
            </w:pPr>
            <w:r>
              <w:rPr/>
              <w:t> </w:t>
            </w:r>
          </w:p>
        </w:tc>
        <w:tc>
          <w:tcPr>
            <w:tcW w:w="5770" w:type="dxa"/>
            <w:gridSpan w:val="2"/>
            <w:tcBorders/>
            <w:vAlign w:val="center"/>
          </w:tcPr>
          <w:p>
            <w:pPr>
              <w:pStyle w:val="TableContents"/>
              <w:bidi w:val="0"/>
              <w:spacing w:before="0" w:after="283"/>
              <w:jc w:val="left"/>
              <w:rPr/>
            </w:pPr>
            <w:r>
              <w:rPr/>
            </w:r>
          </w:p>
        </w:tc>
      </w:tr>
      <w:tr>
        <w:trPr/>
        <w:tc>
          <w:tcPr>
            <w:tcW w:w="20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Dated:  October 21, 2026</w:t>
            </w:r>
          </w:p>
        </w:tc>
        <w:tc>
          <w:tcPr>
            <w:tcW w:w="32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By:</w:t>
            </w:r>
          </w:p>
        </w:tc>
        <w:tc>
          <w:tcPr>
            <w:tcW w:w="5450" w:type="dxa"/>
            <w:tcBorders>
              <w:bottom w:val="single" w:sz="12" w:space="0" w:color="000000"/>
            </w:tcBorders>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/s/ Patrick R. O’Neil</w:t>
            </w:r>
          </w:p>
        </w:tc>
      </w:tr>
      <w:tr>
        <w:trPr/>
        <w:tc>
          <w:tcPr>
            <w:tcW w:w="20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0"/>
              <w:jc w:val="both"/>
              <w:rPr>
                <w:rFonts w:ascii="Times New Roman" w:hAnsi="Times New Roman"/>
                <w:b/>
                <w:smallCaps/>
                <w:sz w:val="20"/>
                <w:szCs w:val="20"/>
              </w:rPr>
            </w:pPr>
            <w:r>
              <w:rPr>
                <w:rFonts w:ascii="Times New Roman" w:hAnsi="Times New Roman"/>
                <w:b/>
                <w:smallCaps/>
                <w:sz w:val="20"/>
                <w:szCs w:val="20"/>
              </w:rPr>
            </w:r>
          </w:p>
        </w:tc>
        <w:tc>
          <w:tcPr>
            <w:tcW w:w="5450" w:type="dxa"/>
            <w:tcBorders/>
            <w:vAlign w:val="center"/>
          </w:tcPr>
          <w:p>
            <w:pPr>
              <w:pStyle w:val="TableContents"/>
              <w:bidi w:val="0"/>
              <w:spacing w:before="0" w:after="0"/>
              <w:jc w:val="both"/>
              <w:rPr>
                <w:rFonts w:ascii="Times New Roman" w:hAnsi="Times New Roman"/>
                <w:b/>
                <w:smallCaps/>
                <w:sz w:val="20"/>
              </w:rPr>
            </w:pPr>
            <w:r>
              <w:rPr>
                <w:rFonts w:ascii="Times New Roman" w:hAnsi="Times New Roman"/>
                <w:b/>
                <w:smallCaps/>
                <w:sz w:val="20"/>
              </w:rPr>
              <w:t>Patrick R. O’Neil</w:t>
            </w:r>
          </w:p>
        </w:tc>
      </w:tr>
      <w:tr>
        <w:trPr/>
        <w:tc>
          <w:tcPr>
            <w:tcW w:w="20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0"/>
              <w:jc w:val="both"/>
              <w:rPr>
                <w:rFonts w:ascii="Times New Roman" w:hAnsi="Times New Roman"/>
                <w:sz w:val="20"/>
                <w:szCs w:val="20"/>
              </w:rPr>
            </w:pPr>
            <w:r>
              <w:rPr>
                <w:rFonts w:ascii="Times New Roman" w:hAnsi="Times New Roman"/>
                <w:sz w:val="20"/>
                <w:szCs w:val="20"/>
              </w:rPr>
            </w:r>
          </w:p>
        </w:tc>
        <w:tc>
          <w:tcPr>
            <w:tcW w:w="545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Executive Vice President, Chief Legal Officer and General Counsel</w:t>
            </w:r>
          </w:p>
        </w:tc>
      </w:tr>
    </w:tbl>
    <w:p>
      <w:pPr>
        <w:pStyle w:val="TextBody"/>
        <w:bidi w:val="0"/>
        <w:spacing w:before="0" w:after="0"/>
        <w:jc w:val="left"/>
        <w:rPr/>
      </w:pPr>
      <w:r>
        <w:rPr/>
      </w:r>
    </w:p>
    <w:p>
      <w:pPr>
        <w:pStyle w:val="TextBody"/>
        <w:bidi w:val="0"/>
        <w:spacing w:before="0" w:after="0"/>
        <w:jc w:val="left"/>
        <w:rPr/>
      </w:pPr>
      <w:r>
        <w:rPr/>
      </w:r>
    </w:p>
    <w:p>
      <w:pPr>
        <w:pStyle w:val="HorizontalLine"/>
        <w:bidi w:val="0"/>
        <w:jc w:val="left"/>
        <w:rPr/>
      </w:pPr>
      <w:r>
        <w:rPr/>
      </w:r>
    </w:p>
    <w:p>
      <w:pPr>
        <w:pStyle w:val="HorizontalLine"/>
        <w:pBdr>
          <w:bottom w:val="single" w:sz="12" w:space="0" w:color="808080"/>
        </w:pBdr>
        <w:bidi w:val="0"/>
        <w:jc w:val="left"/>
        <w:rPr/>
      </w:pPr>
      <w:r>
        <w:rPr/>
      </w:r>
      <w:bookmarkStart w:id="3" w:name="ef20084189_ex99-1.htm"/>
      <w:bookmarkStart w:id="4" w:name="ksef20084189_ex991"/>
      <w:bookmarkStart w:id="5" w:name="ef20084189_ex99-1.htm"/>
      <w:bookmarkStart w:id="6" w:name="ksef20084189_ex991"/>
      <w:bookmarkEnd w:id="5"/>
      <w:bookmarkEnd w:id="6"/>
      <w:r>
        <w:br w:type="page"/>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Exhibit 99.1</w:t>
      </w:r>
    </w:p>
    <w:p>
      <w:pPr>
        <w:pStyle w:val="TextBody"/>
        <w:bidi w:val="0"/>
        <w:spacing w:before="0" w:after="0"/>
        <w:jc w:val="left"/>
        <w:rPr>
          <w:sz w:val="20"/>
        </w:rPr>
      </w:pPr>
      <w:r>
        <w:rPr>
          <w:sz w:val="20"/>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Ionis partner GSK announces Hibsago (bepirovirsen) approved in the U.S. for the treatment of chronic hepatitis B (CHB)</w:t>
      </w:r>
    </w:p>
    <w:p>
      <w:pPr>
        <w:pStyle w:val="TextBody"/>
        <w:bidi w:val="0"/>
        <w:spacing w:before="0" w:after="0"/>
        <w:jc w:val="left"/>
        <w:rPr>
          <w:sz w:val="20"/>
        </w:rPr>
      </w:pPr>
      <w:r>
        <w:rPr>
          <w:sz w:val="20"/>
        </w:rPr>
      </w:r>
    </w:p>
    <w:p>
      <w:pPr>
        <w:pStyle w:val="TextBody"/>
        <w:bidi w:val="0"/>
        <w:spacing w:before="0" w:after="0"/>
        <w:jc w:val="center"/>
        <w:rPr>
          <w:color w:val="000000"/>
        </w:rPr>
      </w:pPr>
      <w:r>
        <w:rPr>
          <w:color w:val="000000"/>
        </w:rPr>
        <w:t xml:space="preserve">– </w:t>
      </w:r>
      <w:r>
        <w:rPr>
          <w:rFonts w:ascii="Times New Roman" w:hAnsi="Times New Roman"/>
          <w:i/>
          <w:color w:val="000000"/>
          <w:sz w:val="20"/>
        </w:rPr>
        <w:t>Approval based on Phase 3 data showing unprecedented functional cure rates compared to standard of care –</w:t>
      </w:r>
    </w:p>
    <w:p>
      <w:pPr>
        <w:pStyle w:val="TextBody"/>
        <w:bidi w:val="0"/>
        <w:spacing w:before="0" w:after="0"/>
        <w:jc w:val="center"/>
        <w:rPr>
          <w:color w:val="000000"/>
        </w:rPr>
      </w:pPr>
      <w:r>
        <w:rPr>
          <w:color w:val="000000"/>
        </w:rPr>
        <w:t xml:space="preserve">– </w:t>
      </w:r>
      <w:r>
        <w:rPr>
          <w:rFonts w:ascii="Times New Roman" w:hAnsi="Times New Roman"/>
          <w:i/>
          <w:color w:val="000000"/>
          <w:sz w:val="20"/>
        </w:rPr>
        <w:t>Six-month treatment with option of at-home administration after first dose –</w:t>
      </w:r>
    </w:p>
    <w:p>
      <w:pPr>
        <w:pStyle w:val="TextBody"/>
        <w:bidi w:val="0"/>
        <w:spacing w:before="0" w:after="0"/>
        <w:jc w:val="center"/>
        <w:rPr>
          <w:color w:val="000000"/>
        </w:rPr>
      </w:pPr>
      <w:r>
        <w:rPr>
          <w:color w:val="000000"/>
        </w:rPr>
        <w:t xml:space="preserve">– </w:t>
      </w:r>
      <w:r>
        <w:rPr>
          <w:rFonts w:ascii="Times New Roman" w:hAnsi="Times New Roman"/>
          <w:i/>
          <w:color w:val="000000"/>
          <w:sz w:val="20"/>
        </w:rPr>
        <w:t>CHB affects approximately 1.7 million people in the U.S. –</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rPr>
      </w:pPr>
      <w:r>
        <w:rPr>
          <w:rFonts w:ascii="Times New Roman" w:hAnsi="Times New Roman"/>
          <w:b/>
          <w:color w:val="000000"/>
          <w:sz w:val="20"/>
        </w:rPr>
        <w:t xml:space="preserve">CARLSBAD, Calif., October 20, 2026 </w:t>
      </w:r>
      <w:r>
        <w:rPr>
          <w:rFonts w:ascii="Times New Roman" w:hAnsi="Times New Roman"/>
          <w:color w:val="000000"/>
          <w:sz w:val="20"/>
        </w:rPr>
        <w:t xml:space="preserve">-- </w:t>
      </w:r>
      <w:r>
        <w:rPr>
          <w:rFonts w:ascii="Times New Roman" w:hAnsi="Times New Roman"/>
          <w:color w:val="000000"/>
          <w:sz w:val="20"/>
          <w:u w:val="single"/>
        </w:rPr>
        <w:t>Ionis Pharmaceuticals, Inc.</w:t>
      </w:r>
      <w:r>
        <w:rPr>
          <w:rFonts w:ascii="Times New Roman" w:hAnsi="Times New Roman"/>
          <w:color w:val="000000"/>
          <w:sz w:val="20"/>
        </w:rPr>
        <w:t> (Nasdaq: IONS) partner GSK today announced that the U.S. Food and Drug Administration (FDA) has approved Hibsago (bepirovirsen) for the treatment of chronic hepatitis B (CHB) virus infection in combination with nucleos(t)ide analogue reverse transcriptase inhibitor (NrtI) therapy in adult patients without cirrhosis, receiving Nrtl therapy for at least 6 months, who have suppressed HBV deoxyribonucleic acid (DNA), and with hepatitis B virus (HBV) surface antigen (HBsAg) levels ≤3000 IU/ml, as determined by an FDA-authorized test. GSK licensed bepirovirsen from Ionis and collaborated with them on its development.</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Bepirovirsen is a first in class RNA-targeted medicine that offers unprecedented functional cure rates compared to current standard of care. The approval was granted under FDA priority review and Breakthrough Therapy Designation, recognizing significant improvement of bepirovirsen and nucleos(t)ide analogue therapy over existing standard of care.</w:t>
      </w:r>
    </w:p>
    <w:p>
      <w:pPr>
        <w:pStyle w:val="TextBody"/>
        <w:bidi w:val="0"/>
        <w:spacing w:before="0" w:after="0"/>
        <w:jc w:val="left"/>
        <w:rPr>
          <w:sz w:val="20"/>
        </w:rPr>
      </w:pPr>
      <w:r>
        <w:rPr>
          <w:sz w:val="20"/>
        </w:rPr>
      </w:r>
    </w:p>
    <w:p>
      <w:pPr>
        <w:pStyle w:val="TextBody"/>
        <w:bidi w:val="0"/>
        <w:spacing w:before="0" w:after="0"/>
        <w:jc w:val="left"/>
        <w:rPr>
          <w:color w:val="000000"/>
        </w:rPr>
      </w:pPr>
      <w:r>
        <w:rPr>
          <w:color w:val="000000"/>
        </w:rPr>
        <w:t>“</w:t>
      </w:r>
      <w:r>
        <w:rPr>
          <w:rFonts w:ascii="Times New Roman" w:hAnsi="Times New Roman"/>
          <w:color w:val="000000"/>
          <w:sz w:val="20"/>
        </w:rPr>
        <w:t>About 1.7 million people in the U.S are living with chronic hepatitis B, and yet treatment options have been historically limited and the vast majority of people living with the chronic infection require lifetime care without achieving meaningful functional cure,” said Brett P. Monia, Ph.D., chief executive officer, Ionis. “We are pleased to seethe FDA approval of Hibsago, which adds to a growing portfolio of transformative medicines discovered and developed by Ionis that address serious diseases, including many that previously had limited or no available treatment options. We believe Hibsago will bring new hope to people living with chronic hepatitis B, offering the potential to achieve unprecedented functional cure rates after a six-month treatment course.”</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approval was supported by results from the Phase 3 B-Well trials showing functional cure rates of 19% in adults with ≤3000 IU/ml HBsAg, compared to current standard of care alone, which typically achieves less than 1% functional cure rate after one year of treatment. Functional cure occurs when HBV DNA and HBsAg are undetectable for at least 24 weeks after stopping all treatment, indicating the disease is controlled by the immune system without medication.</w:t>
      </w:r>
    </w:p>
    <w:p>
      <w:pPr>
        <w:pStyle w:val="TextBody"/>
        <w:bidi w:val="0"/>
        <w:spacing w:before="0" w:after="0"/>
        <w:jc w:val="left"/>
        <w:rPr>
          <w:sz w:val="20"/>
        </w:rPr>
      </w:pPr>
      <w:r>
        <w:rPr>
          <w:sz w:val="20"/>
        </w:rPr>
      </w:r>
    </w:p>
    <w:p>
      <w:pPr>
        <w:pStyle w:val="TextBody"/>
        <w:bidi w:val="0"/>
        <w:spacing w:before="0" w:after="0"/>
        <w:jc w:val="left"/>
        <w:rPr>
          <w:color w:val="000000"/>
        </w:rPr>
      </w:pPr>
      <w:r>
        <w:rPr>
          <w:color w:val="000000"/>
        </w:rPr>
        <w:t>“</w:t>
      </w:r>
      <w:r>
        <w:rPr>
          <w:rFonts w:ascii="Times New Roman" w:hAnsi="Times New Roman"/>
          <w:color w:val="000000"/>
          <w:sz w:val="20"/>
        </w:rPr>
        <w:t>This is the start of a new era in treating people living with CHB,” said Norah Terrault, MD, MPH, FAASLD, Chief of Gastroenterology &amp; Hepatology, USC Keck Medical Centre. “Bepirovirsen offers patients the potential to achieve functional cure after a short period of treatment, a long-standing goal for patients and physicians alike."</w:t>
      </w:r>
    </w:p>
    <w:p>
      <w:pPr>
        <w:pStyle w:val="TextBody"/>
        <w:bidi w:val="0"/>
        <w:spacing w:before="0" w:after="0"/>
        <w:jc w:val="left"/>
        <w:rPr>
          <w:sz w:val="20"/>
        </w:rPr>
      </w:pPr>
      <w:r>
        <w:rPr>
          <w:sz w:val="20"/>
        </w:rPr>
      </w:r>
    </w:p>
    <w:p>
      <w:pPr>
        <w:pStyle w:val="TextBody"/>
        <w:bidi w:val="0"/>
        <w:spacing w:before="0" w:after="0"/>
        <w:jc w:val="left"/>
        <w:rPr>
          <w:color w:val="000000"/>
        </w:rPr>
      </w:pPr>
      <w:r>
        <w:rPr>
          <w:color w:val="000000"/>
        </w:rPr>
        <w:t>“</w:t>
      </w:r>
      <w:r>
        <w:rPr>
          <w:rFonts w:ascii="Times New Roman" w:hAnsi="Times New Roman"/>
          <w:color w:val="000000"/>
          <w:sz w:val="20"/>
        </w:rPr>
        <w:t>CHB is a major public health challenge, affecting millions of people in the US and accounting for approximately 56% of all global liver cancer cases,” said Chari Cohen, DrPH, MPH, president, Hepatitis B Foundation. “Today marks significant progress towards our aim of transforming the way CHB is managed with improvements in screening, diagnosis, and the availability of innovative treatment options for our community.”</w:t>
      </w:r>
    </w:p>
    <w:p>
      <w:pPr>
        <w:pStyle w:val="TextBody"/>
        <w:bidi w:val="0"/>
        <w:spacing w:before="0" w:after="0"/>
        <w:jc w:val="left"/>
        <w:rPr>
          <w:sz w:val="20"/>
        </w:rPr>
      </w:pPr>
      <w:r>
        <w:rPr>
          <w:sz w:val="20"/>
        </w:rPr>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Quantitative surface antigen testing will support the diagnosis and identification of patients suitable for treatment with bepirovirsen who have baseline HBsAg levels ≤3000 IU/ml. Several tests are available, including a recently authorized FDA test.</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GSK continues to advance regulatory submissions for bepirovirsen across multiple geographies with key regulatory decisions anticipated in the coming months.</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GSK licensed bepirovirsen from Ionis in 2019 under a collaborative development and licensing agreement. Under the terms of the agreement, Ionis has received an upfront payment, license fee and development and regulatory milestone payments and is eligible to receive additional regulatory and sales milestone payments as well as tiered royalties of 10-12% on net sales of bepirovirsen.</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Results from the Phase 3 B-Well trials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Pooled data from the Phase 3 B-Well trials showed that six-month treatment with bepirovirsen achieved a clinically meaningful 19% functional cure response rate (233 of 1,220 vs. 0 of 614 in the placebo group). B-Well 1 and B-Well 2 each met the primary endpoint, demonstrating a statistically significant improvement in functional cure versus placebo in the overall study population (adults with ≤3000 IU/ml HBsAg level). In a key secondary endpoint, a functional cure rate of 26% (200 of 768 vs. 0 of 393 in the placebo group) was achieved in participants with ≤1000 IU/ml HBsAg level, a group that represents approximately 45% of diagnosed CHB cases globally.</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Exploratory analyses also showed bepirovirsen reduced HBsAg to ≤100 IU/ml in 49% of participants (598 of 1220) in the overall study population, and in 62% of bepirovirsen recipients in the ≤1000 IU/ml (476 of 768) sub-group as of the week 72 visit. Medical literature has linked this low level of surface antigen with increased immune control and improved patient outcomes.</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trials showed an acceptable safety and tolerability profile consistent with other studies of bepirovirsen. The three most frequently observed adverse events were injection site erythema, local pain and temporary rise in the blood level of a liver enzyme.</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About bepirovirsen</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Bepirovirsen is a non-GalNAc-conjugated antisense oligonucleotide (ASO) designed to recognize and inhibit the production of the genetic components (i.e. RNA) of the hepatitis B virus that can lead to chronic disease, potentially allowing a person’s immune system to regain control. Bepirovirsen reduces the production of RNA and viral proteins associated with HBV, suppresses the level of hepatitis B surface antigen (HBsAg) in the blood, and may stimulate the immune system to increase the chances of a durable and sustained response.</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Bepirovirsen has been recognized by global regulatory authorities for its innovation and potential to address significant unmet need in hepatitis B, with Breakthrough Designation and priority review from the US FDA, Breakthrough Therapy and Priority Review designation in China and SENKU designation in Japan. Bepirovirsen is approved in Japan and the U.S.</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INDICATION</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HIBSAGO is indicated in combination with nucleos(t)ide analog reverse transcriptase inhibitor (NrtI) therapy to treat chronic hepatitis B virus (HBV) infection in adults without cirrhosis who have been on NrtI therapy for ≥6 months with suppressed HBV DNA and who have HBV surface antigen (HBsAg) levels ≤3,000 IU/mL as determined by an FDA-authorized test.</w:t>
      </w:r>
    </w:p>
    <w:p>
      <w:pPr>
        <w:pStyle w:val="TextBody"/>
        <w:bidi w:val="0"/>
        <w:spacing w:before="0" w:after="0"/>
        <w:jc w:val="left"/>
        <w:rPr>
          <w:sz w:val="20"/>
        </w:rPr>
      </w:pPr>
      <w:r>
        <w:rPr>
          <w:sz w:val="20"/>
        </w:rPr>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WARNING: ON-TREATMENT HEPATIC FLARES AND THROMBOCYTOPENIA</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On-Treatment Hepatic Flares</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HIBSAGO may cause on-treatment hepatic flares with increases in alanine aminotransferase (ALT) of &gt;20-40x upper limit of normal (ULN) associated with decline in HBsAg. Some cases were associated with hyperbilirubinemia. Most occurred within the first 12 weeks and resolved when treatment was interrupted or discontinued. Do not initiate HIBSAGO in patients with evidence of acute hepatic impairment or cirrhosis. ALT and total bilirubin must be measured prior to treatment and frequently monitored during treatment. Treatment interruption, followed by dose reduction or discontinuation, may be necessary based on liver laboratory results.</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Thrombocytopenia</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HIBSAGO may cause reductions in platelet counts that may result in sudden and unpredictable thrombocytopenia, which can be life-threatening. Obtain platelet count prior to treatment; HIBSAGO is contraindicated in patients with platelet count &lt;100 x 10⁹/L. Monitor platelet counts at least weekly during treatment. Do not re-dose unless platelet count returns to ≥100 x 10⁹/L. Permanently discontinue HIBSAGO if platelet count falls &lt;50 x 10⁹/L.</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CONTRAINDICATIONS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HIBSAGO is contraindicated in patients:</w:t>
      </w:r>
    </w:p>
    <w:p>
      <w:pPr>
        <w:pStyle w:val="Normal"/>
        <w:bidi w:val="0"/>
        <w:spacing w:before="0" w:after="0"/>
        <w:jc w:val="left"/>
        <w:rPr>
          <w:sz w:val="4"/>
          <w:szCs w:val="4"/>
        </w:rPr>
      </w:pPr>
      <w:r>
        <w:rPr>
          <w:sz w:val="4"/>
          <w:szCs w:val="4"/>
        </w:rPr>
      </w:r>
      <w:bookmarkStart w:id="7" w:name="z6867dd9e291443fc8057021fc5eeac3a"/>
      <w:bookmarkStart w:id="8" w:name="z6867dd9e291443fc8057021fc5eeac3a"/>
      <w:bookmarkEnd w:id="8"/>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jc w:val="left"/>
              <w:rPr/>
            </w:pPr>
            <w:r>
              <w:rPr/>
              <w:t>•</w:t>
            </w:r>
          </w:p>
        </w:tc>
        <w:tc>
          <w:tcPr>
            <w:tcW w:w="100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with acute hepatic impairment or cirrhosis who have mild, moderate, or severe hepatic impairment (Child-Pugh Class A, B, or C).</w:t>
            </w:r>
          </w:p>
        </w:tc>
      </w:tr>
    </w:tbl>
    <w:p>
      <w:pPr>
        <w:pStyle w:val="Normal"/>
        <w:bidi w:val="0"/>
        <w:spacing w:before="0" w:after="0"/>
        <w:jc w:val="left"/>
        <w:rPr>
          <w:sz w:val="4"/>
          <w:szCs w:val="4"/>
        </w:rPr>
      </w:pPr>
      <w:r>
        <w:rPr>
          <w:sz w:val="4"/>
          <w:szCs w:val="4"/>
        </w:rPr>
      </w:r>
      <w:bookmarkStart w:id="9" w:name="z34ea57f6799d458e9323f1031987daff"/>
      <w:bookmarkStart w:id="10" w:name="z34ea57f6799d458e9323f1031987daff"/>
      <w:bookmarkEnd w:id="10"/>
    </w:p>
    <w:tbl>
      <w:tblPr>
        <w:tblW w:w="5560" w:type="dxa"/>
        <w:jc w:val="left"/>
        <w:tblInd w:w="0" w:type="dxa"/>
        <w:tblLayout w:type="fixed"/>
        <w:tblCellMar>
          <w:top w:w="0" w:type="dxa"/>
          <w:left w:w="0" w:type="dxa"/>
          <w:bottom w:w="0" w:type="dxa"/>
          <w:right w:w="0" w:type="dxa"/>
        </w:tblCellMar>
      </w:tblPr>
      <w:tblGrid>
        <w:gridCol w:w="75"/>
        <w:gridCol w:w="110"/>
        <w:gridCol w:w="53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jc w:val="left"/>
              <w:rPr/>
            </w:pPr>
            <w:r>
              <w:rPr/>
              <w:t>•</w:t>
            </w:r>
          </w:p>
        </w:tc>
        <w:tc>
          <w:tcPr>
            <w:tcW w:w="53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with a platelet count &lt;100 x 109/L prior to initiation of treatment.</w:t>
            </w:r>
          </w:p>
        </w:tc>
      </w:tr>
    </w:tbl>
    <w:p>
      <w:pPr>
        <w:pStyle w:val="TextBody"/>
        <w:bidi w:val="0"/>
        <w:spacing w:before="0" w:after="0"/>
        <w:jc w:val="left"/>
        <w:rPr>
          <w:sz w:val="20"/>
        </w:rPr>
      </w:pPr>
      <w:r>
        <w:rPr>
          <w:sz w:val="20"/>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WARNINGS AND PRECAUTIONS</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On-Treatment Hepatic Flares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Increases in ALT ≥3x ULN to 69x ULN were observed during treatment with HIBSAGO, most within the first 12 weeks. Isolated cases of ALT increases associated with an increase in total bilirubin resolved when treatment was permanently discontinued.</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Thrombocytopenia</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 addition to sudden and unpredictable thrombocytopenia, a gradual, dose-dependent decline in platelet count was observed in most patients that continued to worsen while on HIBSAGO. If a patient develops signs or symptoms of thrombocytopenia, pause HIBSAGO and obtain a platelet count as soon as possible. Instruct patients to report any symptoms of thrombocytopenia to their healthcare provider immediately. Consider the risks and benefits of treatment with HIBSAGO when treating patients who may be particularly susceptible to platelet count decreases.</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Worsening Renal Function</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Mean estimated glomerular filtration rate (eGFR) declined within 4 weeks of initiation and continued to decline during treatment. These changes were generally reversible after treatment discontinuation. Obtain eGFR and urine albumin-creatinine ratio (uACR) in all patients prior to initiation of treatment. Monitor eGFR frequently during and after treatment; treatment interruption or discontinuation may be necessary. Although no cases of glomerulonephritis were observed with HIBSAGO, glomerulonephritis has been observed with other antisense oligonucleotides; if suspected or confirmed, permanently discontinue HIBSAGO.</w:t>
      </w:r>
    </w:p>
    <w:p>
      <w:pPr>
        <w:pStyle w:val="TextBody"/>
        <w:bidi w:val="0"/>
        <w:spacing w:before="0" w:after="0"/>
        <w:jc w:val="left"/>
        <w:rPr>
          <w:sz w:val="20"/>
        </w:rPr>
      </w:pPr>
      <w:r>
        <w:rPr>
          <w:sz w:val="20"/>
        </w:rPr>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Inflammatory and Immune Effects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Influenza-like symptoms, laboratory test changes (eg, decreases in complement factors C3 and C4), purpuric leg rashes, cutaneous leukocytoclastic vasculitis, dermatitis, pruritus/erythematous plaque, and polyarthralgia were observed. In addition, serious inflammatory and immune adverse reactions were reported, including immune thrombocytopenia, autoimmune hemolytic anemia, systemic inflammatory response syndrome, and a cryoglobulinemic flare.</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Consider the risks and benefits of HIBSAGO in patients who may be susceptible to inflammatory and immune effects, including solid organ transplant recipients, patients with autoimmune hepatitis, patients with a history of or conditions associated with vasculitis, or extrahepatic disorders related to HBV immune-mediated effects. If signs and symptoms suggestive of vasculitis/immune-associated events occur, and no alternative cause is identified, permanently discontinue treatment with HIBSAGO.</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Serious Adverse Reaction with Improper Administration</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Improper HIBSAGO administration, including not rotating injection sites, has been associated with the serious adverse reaction of omental infarction in one participant. Ensure injection sites are rotated from one week to the next and that the two injections making up each dose are separated by at least 2 inches (5 cm). Never inject into areas where the skin is tender, bruised, red, or hard.</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Post-Treatment Exacerbations of HBV Infection After NrtI Discontinuation</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Severe acute exacerbations of HBV infection may occur after discontinuation of anti-HBV therapy. If NrtI therapy is discontinued after completing HIBSAGO treatment, frequent monitoring is recommended for at least one year to detect acute exacerbations of HBV infection and the possible need for resumption of HBV treatment.</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Risk of human immunodeficiency virus-1 (HIV-1) Virologic Failure in Patients with HBV/HIV-1 Coinfection Who Discontinue NrtI Therapy</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Patients who are taking NrtI for HIV-1 and HBV coinfection must not stop taking their NrtI unless an HIV healthcare provider has directed them to do so.</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Risk of Hepatitis Flare in Patients with HBV/Hepatitis D Virus Coinfection</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HIBSAGO is not recommended in patients with HDV coinfection due to the potential for an exacerbated risk of clinically significant ALT increases.</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Unknown Effect on Preventing Transmission of HBV</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There are no data on the effect of HIBSAGO in preventing transmission of HBV. Patients must be advised to use appropriate precautions to prevent transmission of HBV.</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ADVERSE REACTIONS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most common adverse reactions (≥10%), excluding laboratory abnormalities, reported with HIBSAGO included injection site reactions, pyrexia, fatigue, and headache.</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Selected laboratory abnormalities worsened from baseline, including but not limited to, increases in ALT and total bilirubin, decreases in platelets and eGFR.</w:t>
      </w:r>
    </w:p>
    <w:p>
      <w:pPr>
        <w:pStyle w:val="TextBody"/>
        <w:bidi w:val="0"/>
        <w:spacing w:before="0" w:after="0"/>
        <w:jc w:val="left"/>
        <w:rPr>
          <w:sz w:val="20"/>
        </w:rPr>
      </w:pPr>
      <w:r>
        <w:rPr>
          <w:sz w:val="20"/>
        </w:rPr>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DRUG INTERACTIONS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Monitor patients for signs of bleeding and thrombocytopenia if HIBSAGO is taken concomitantly with anticoagulants, antiplatelets, or drugs that decrease platelet count.</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Monitor patients for signs of worsening renal function during concomitant administration of HIBSAGO with drugs that may impair renal function.</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Concomitant administration of HIBSAGO and peginterferon alfa-2a is not recommended due to the potential for an exacerbated risk of increased ALT, decreased platelet count, and immune-mediated effects.</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USE IN SPECIFIC POPULATIONS</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Pregnancy and Lactation</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There are insufficient data on HIBSAGO use in pregnancy or during breastfeeding. Consider the benefits of breastfeeding together with the mother’s clinical need for HIBSAGO.</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Pediatric Use</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HIBSAGO’s safety and effectiveness have not been established in patients under 18 years of age.</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Renal Impairment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HIBSAGO can cause worsening renal function. No dosage adjustment is needed for mild renal impairment. Data are insufficient for moderate or severe renal impairment or end-stage renal disease (ESRD).</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Please see full Prescribing Information, including Boxed Warning, for HIBSAGO.</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Please see accompanying U.S. Prescribing Information here.</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About B-Well 1 and B-Well 2</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B-Well 1 (NCT05630807) and B-Well 2 (NCT05630820) trials are global multi-center, randomized, double-blind, placebo-controlled trials conducted in 29 countries. They assessed the efficacy, safety, pharmacokinetic profile, and durability of functional cure in nucleos(t)ide analogue-treated adult participants with chronic hepatitis B and baseline surface antigen (HBsAg) ≤3000 IU/ml. The primary endpoint assessed the proportion of participants achieving functional cure in patients with baseline HBsAg ≤3000 IU/ml (assessed six months after all therapies were discontinued). A key ranked secondary endpoint evaluated functional cure in participants with baseline HBsAg ≤1000 IU/ml.</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About Chronic Hepatitis B (CHB)</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Hepatitis B is a viral infection that can cause both acute and chronic liver disease. Chronic hepatitis B occurs when the immune system is unable to clear the virus, resulting in long-lasting infection that affects more than 240 million people worldwide. The disease causes approximately 1.1 million deaths each year, and accounts for approximately 56% of liver cancer cases globally. Currently, many patients often require lifelong antiviral therapy for viral suppression, making functional cure a critical goal in disease management.</w:t>
      </w:r>
    </w:p>
    <w:p>
      <w:pPr>
        <w:pStyle w:val="TextBody"/>
        <w:bidi w:val="0"/>
        <w:spacing w:before="0" w:after="0"/>
        <w:jc w:val="left"/>
        <w:rPr>
          <w:sz w:val="20"/>
        </w:rPr>
      </w:pPr>
      <w:r>
        <w:rPr>
          <w:sz w:val="20"/>
        </w:rPr>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color w:val="000000"/>
          <w:sz w:val="20"/>
        </w:rPr>
      </w:pPr>
      <w:r>
        <w:rPr>
          <w:rFonts w:ascii="Times New Roman" w:hAnsi="Times New Roman"/>
          <w:b/>
          <w:color w:val="000000"/>
          <w:sz w:val="20"/>
        </w:rPr>
        <w:t>About Ionis Pharmaceuticals, Inc.</w:t>
      </w:r>
      <w:r>
        <w:rPr>
          <w:rFonts w:ascii="Times New Roman" w:hAnsi="Times New Roman"/>
          <w:color w:val="000000"/>
          <w:sz w:val="20"/>
        </w:rPr>
        <w:t> </w:t>
        <w:br/>
        <w:t>For more than three decades, Ionis has invented medicines that bring better futures to people with serious diseases. Ionis currently has marketed medicines and a leading pipeline in neurology, cardiometabolic disease and select areas of high patient need. As the pioneer in RNA-targeted medicines, Ionis continues to drive innovation in RNA therapies in addition to advancing new approaches in gene editing. A deep understanding of disease biology and industry-leading technology propels our work, coupled with a passion and urgency to deliver life-changing advances for patients. To learn more about Ionis, visit </w:t>
      </w:r>
      <w:r>
        <w:rPr>
          <w:rFonts w:ascii="Times New Roman" w:hAnsi="Times New Roman"/>
          <w:color w:val="000000"/>
          <w:sz w:val="20"/>
          <w:u w:val="single"/>
        </w:rPr>
        <w:t>Ionis.com</w:t>
      </w:r>
      <w:r>
        <w:rPr>
          <w:rFonts w:ascii="Times New Roman" w:hAnsi="Times New Roman"/>
          <w:color w:val="000000"/>
          <w:sz w:val="20"/>
        </w:rPr>
        <w:t> and follow us on </w:t>
      </w:r>
      <w:r>
        <w:rPr>
          <w:rFonts w:ascii="Times New Roman" w:hAnsi="Times New Roman"/>
          <w:color w:val="000000"/>
          <w:sz w:val="20"/>
          <w:u w:val="single"/>
        </w:rPr>
        <w:t>X (Twitter)</w:t>
      </w:r>
      <w:r>
        <w:rPr>
          <w:rFonts w:ascii="Times New Roman" w:hAnsi="Times New Roman"/>
          <w:color w:val="000000"/>
          <w:sz w:val="20"/>
        </w:rPr>
        <w:t>, </w:t>
      </w:r>
      <w:r>
        <w:rPr>
          <w:rFonts w:ascii="Times New Roman" w:hAnsi="Times New Roman"/>
          <w:color w:val="000000"/>
          <w:sz w:val="20"/>
          <w:u w:val="single"/>
        </w:rPr>
        <w:t>LinkedIn</w:t>
      </w:r>
      <w:r>
        <w:rPr>
          <w:rFonts w:ascii="Times New Roman" w:hAnsi="Times New Roman"/>
          <w:color w:val="000000"/>
          <w:sz w:val="20"/>
        </w:rPr>
        <w:t> and </w:t>
      </w:r>
      <w:r>
        <w:rPr>
          <w:rFonts w:ascii="Times New Roman" w:hAnsi="Times New Roman"/>
          <w:color w:val="000000"/>
          <w:sz w:val="20"/>
          <w:u w:val="single"/>
        </w:rPr>
        <w:t>Instagram</w:t>
      </w:r>
      <w:r>
        <w:rPr>
          <w:rFonts w:ascii="Times New Roman" w:hAnsi="Times New Roman"/>
          <w:color w:val="000000"/>
          <w:sz w:val="20"/>
        </w:rPr>
        <w:t>. </w:t>
        <w:br/>
        <w:t> </w:t>
        <w:br/>
      </w:r>
      <w:r>
        <w:rPr>
          <w:rFonts w:ascii="Times New Roman" w:hAnsi="Times New Roman"/>
          <w:b/>
          <w:color w:val="000000"/>
          <w:sz w:val="20"/>
        </w:rPr>
        <w:t>Ionis Forward-looking Statements</w:t>
      </w:r>
      <w:r>
        <w:rPr>
          <w:rFonts w:ascii="Times New Roman" w:hAnsi="Times New Roman"/>
          <w:color w:val="000000"/>
          <w:sz w:val="2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This press release includes forward-looking statements regarding Ionis' business and the therapeutic and commercial potential of bepirovirsen, our commercial medicines, additional medicines in development and technologies and our expectations regarding development and regulatory milestones. Any statement describing Ionis' goals, expectations, financial or other projections, intentions or beliefs is a forward-looking statement and should be considered an at-risk statement. Such statements are subject to certain risks and uncertainties including those inherent in the process of discovering, developing and commercializing medicines that are safe and effective for use as human therapeutics, and in the endeavor of building a business around such medicines. Ionis' forward-looking statements also involve assumptions that, if they never materialize or prove correct, could cause its results to differ materially from those expressed or implied by such forward-looking statements. Although Ionis' forward-looking statements reflect the good faith judgment of its management, these statements are based only on facts and factors currently known by Ionis. Except as required by law, we undertake no obligation to update any forward-looking statements for any reason. As a result, you are cautioned not to rely on these forward-looking statements. These and other risks concerning Ionis' programs are described in additional detail in Ionis' annual report on Form 10-K for the year ended December 31, 2025 and most recent Form 10-Q, which are on file with the Securities and Exchange Commission. Copies of these and other documents are available from the Company. </w:t>
        <w:br/>
        <w:t> </w:t>
        <w:br/>
        <w:t>In this press release, unless the context requires otherwise, "Ionis," "Company," "we," "our" and "us" all refer to Ionis Pharmaceuticals and its subsidiaries. </w:t>
      </w:r>
    </w:p>
    <w:p>
      <w:pPr>
        <w:pStyle w:val="TextBody"/>
        <w:bidi w:val="0"/>
        <w:spacing w:before="0" w:after="0"/>
        <w:jc w:val="left"/>
        <w:rPr>
          <w:color w:val="000000"/>
        </w:rPr>
      </w:pPr>
      <w:r>
        <w:rPr>
          <w:color w:val="000000"/>
        </w:rPr>
        <w:t> </w:t>
      </w:r>
    </w:p>
    <w:p>
      <w:pPr>
        <w:pStyle w:val="TextBody"/>
        <w:bidi w:val="0"/>
        <w:spacing w:lineRule="auto" w:line="240" w:before="0" w:after="0"/>
        <w:jc w:val="left"/>
        <w:rPr>
          <w:rFonts w:ascii="Times New Roman" w:hAnsi="Times New Roman"/>
          <w:color w:val="000000"/>
          <w:sz w:val="20"/>
        </w:rPr>
      </w:pPr>
      <w:r>
        <w:rPr>
          <w:rFonts w:ascii="Times New Roman" w:hAnsi="Times New Roman"/>
          <w:color w:val="000000"/>
          <w:sz w:val="20"/>
        </w:rPr>
        <w:t>Ionis Pharmaceuticals® is a trademark of Ionis Pharmaceuticals, Inc.  HIBSAGO is a trademark owned by the GSK group of companies.</w:t>
      </w:r>
    </w:p>
    <w:p>
      <w:pPr>
        <w:pStyle w:val="TextBody"/>
        <w:bidi w:val="0"/>
        <w:spacing w:before="0" w:after="0"/>
        <w:jc w:val="left"/>
        <w:rPr>
          <w:color w:val="000000"/>
        </w:rPr>
      </w:pPr>
      <w:r>
        <w:rPr>
          <w:color w:val="000000"/>
        </w:rPr>
        <w:t> </w:t>
      </w:r>
      <w:r>
        <w:rPr>
          <w:rFonts w:ascii="Times New Roman" w:hAnsi="Times New Roman"/>
          <w:color w:val="000000"/>
          <w:sz w:val="20"/>
        </w:rPr>
        <w:br/>
      </w:r>
      <w:r>
        <w:rPr>
          <w:rFonts w:ascii="Times New Roman" w:hAnsi="Times New Roman"/>
          <w:b/>
          <w:color w:val="000000"/>
          <w:sz w:val="20"/>
        </w:rPr>
        <w:t>Ionis Investor Contact:</w:t>
      </w:r>
      <w:r>
        <w:rPr>
          <w:rFonts w:ascii="Times New Roman" w:hAnsi="Times New Roman"/>
          <w:color w:val="000000"/>
          <w:sz w:val="2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D. Wade Walke, Ph.D. </w:t>
      </w:r>
    </w:p>
    <w:p>
      <w:pPr>
        <w:pStyle w:val="TextBody"/>
        <w:bidi w:val="0"/>
        <w:spacing w:before="0" w:after="0"/>
        <w:jc w:val="left"/>
        <w:rPr>
          <w:rFonts w:ascii="Times New Roman" w:hAnsi="Times New Roman"/>
          <w:color w:val="000000"/>
          <w:sz w:val="20"/>
        </w:rPr>
      </w:pPr>
      <w:r>
        <w:rPr>
          <w:rFonts w:ascii="Times New Roman" w:hAnsi="Times New Roman"/>
          <w:color w:val="000000"/>
          <w:sz w:val="20"/>
          <w:u w:val="single"/>
        </w:rPr>
        <w:t>IR@ionis.com</w:t>
      </w:r>
      <w:r>
        <w:rPr>
          <w:rFonts w:ascii="Times New Roman" w:hAnsi="Times New Roman"/>
          <w:color w:val="000000"/>
          <w:sz w:val="20"/>
        </w:rPr>
        <w:br/>
        <w:t>760-603-2331 </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b/>
          <w:color w:val="000000"/>
          <w:sz w:val="20"/>
        </w:rPr>
        <w:t>Ionis Media Contact:</w:t>
      </w:r>
      <w:r>
        <w:rPr>
          <w:rFonts w:ascii="Times New Roman" w:hAnsi="Times New Roman"/>
          <w:color w:val="000000"/>
          <w:sz w:val="2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Hayley Soffer </w:t>
      </w:r>
    </w:p>
    <w:p>
      <w:pPr>
        <w:pStyle w:val="TextBody"/>
        <w:bidi w:val="0"/>
        <w:spacing w:before="0" w:after="0"/>
        <w:jc w:val="left"/>
        <w:rPr>
          <w:rFonts w:ascii="Times New Roman" w:hAnsi="Times New Roman"/>
          <w:color w:val="000000"/>
          <w:sz w:val="20"/>
          <w:u w:val="single"/>
        </w:rPr>
      </w:pPr>
      <w:r>
        <w:rPr>
          <w:rFonts w:ascii="Times New Roman" w:hAnsi="Times New Roman"/>
          <w:color w:val="000000"/>
          <w:sz w:val="20"/>
          <w:u w:val="single"/>
        </w:rPr>
        <w:t>media@ionis.com</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760-603-4679</w:t>
      </w:r>
    </w:p>
    <w:p>
      <w:pPr>
        <w:pStyle w:val="TextBody"/>
        <w:bidi w:val="0"/>
        <w:spacing w:before="0" w:after="0"/>
        <w:jc w:val="left"/>
        <w:rPr>
          <w:sz w:val="20"/>
        </w:rPr>
      </w:pPr>
      <w:r>
        <w:rPr>
          <w:sz w:val="20"/>
        </w:rPr>
      </w:r>
    </w:p>
    <w:p>
      <w:pPr>
        <w:pStyle w:val="TextBody"/>
        <w:bidi w:val="0"/>
        <w:spacing w:before="0" w:after="0"/>
        <w:jc w:val="left"/>
        <w:rPr>
          <w:sz w:val="20"/>
        </w:rPr>
      </w:pPr>
      <w:r>
        <w:rPr>
          <w:sz w:val="20"/>
        </w:rPr>
      </w:r>
    </w:p>
    <w:p>
      <w:pPr>
        <w:pStyle w:val="HorizontalLine"/>
        <w:pBdr>
          <w:bottom w:val="single" w:sz="12" w:space="0" w:color="808080"/>
        </w:pBdr>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3689</Words>
  <Characters>21752</Characters>
  <CharactersWithSpaces>25379</CharactersWithSpaces>
  <Paragraphs>188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