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Swayze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Research</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798"/>
        <w:gridCol w:w="451"/>
        <w:gridCol w:w="923"/>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Son</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43.5389</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Son</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21,759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Son</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Acquired pursuant to vesting and release of shares in accordance with a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was made pursuant to an automatic sale to cover the required tax withholding obligations pursuant to the 2011 Equity Incentive Plan Restricted Stock Unit Agreement and Grant Notice.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Ionis common stock, or its equivalent cash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Units vest in four equal annual installments. Upon vesting, the restricted stock units will be paid out in whole shares of Ionis common stock or cash as may be determined by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Eric Swayze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1058"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3752</Characters>
  <CharactersWithSpaces>4360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